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2021 Q2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Q2 2021 (1.4.-30.6. 2021).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IPO-Vorbereitung gestartet: Mandatierung Goldman Sachs, Deutsche Bank, Berenberg, Commerzbank</w:t>
      </w:r>
    </w:p>
    <w:p>
      <w:pPr>
        <w:pStyle w:val="ListBullet"/>
      </w:pPr>
      <w:r>
        <w:t>Halbleiter-Engpass beeinflusst Q2-Liefermengen bei Mercedes und VW</w:t>
      </w:r>
    </w:p>
    <w:p>
      <w:pPr>
        <w:pStyle w:val="ListBullet"/>
      </w:pPr>
      <w:r>
        <w:t>DSGVO-Audit Werk Katowice ohne wesentliche Findings</w:t>
      </w:r>
    </w:p>
    <w:p>
      <w:pPr>
        <w:pStyle w:val="ListBullet"/>
      </w:pPr>
      <w:r>
        <w:t>ISO 27001 Vorbereitungsprojekt gestartet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(vorboerslich).</w:t>
      </w:r>
    </w:p>
    <w:p>
      <w:pPr>
        <w:pStyle w:val="Heading3"/>
      </w:pPr>
      <w:r>
        <w:t>Ausblick</w:t>
      </w:r>
    </w:p>
    <w:p>
      <w:r>
        <w:t>H2/2021 fokussiert auf IPO-Roadmap, Halbleiter-Allokation, Vorbereitung CSRD.</w:t>
      </w:r>
    </w:p>
    <w:p>
      <w:pPr>
        <w:pStyle w:val="Heading3"/>
      </w:pPr>
      <w:r>
        <w:t>Unterschrift</w:t>
      </w:r>
    </w:p>
    <w:p>
      <w:r>
        <w:t>Ort, Datum: Stuttgart, den Q2/2021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