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2021 Q3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Q3 2021 (1.7.-30.9. 2021).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IPO-Prospektentwurf abgeschlossen, BaFin-Vorlage in Q4 geplant</w:t>
      </w:r>
    </w:p>
    <w:p>
      <w:pPr>
        <w:pStyle w:val="ListBullet"/>
      </w:pPr>
      <w:r>
        <w:t>Halbleiter-Versorgung leicht entspannt, weiterhin sorgfaeltige Allokation</w:t>
      </w:r>
    </w:p>
    <w:p>
      <w:pPr>
        <w:pStyle w:val="ListBullet"/>
      </w:pPr>
      <w:r>
        <w:t>Whistleblowing-Hotline: 9 Hinweise im Quartal, alle adressiert, keine substanzielle Verstoesse</w:t>
      </w:r>
    </w:p>
    <w:p>
      <w:pPr>
        <w:pStyle w:val="ListBullet"/>
      </w:pPr>
      <w:r>
        <w:t>RCN Shanghai: lokale Compliance-Auflagen verschaerft, Werks-Compliance-Programm angepasst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Q4 ist gepraegt durch finale IPO-Vorbereitung und Vorbereitung der Konsortialkredit-Refinanzierung (Closing 14.3.2022).</w:t>
      </w:r>
    </w:p>
    <w:p>
      <w:pPr>
        <w:pStyle w:val="Heading3"/>
      </w:pPr>
      <w:r>
        <w:t>Unterschrift</w:t>
      </w:r>
    </w:p>
    <w:p>
      <w:r>
        <w:t>Ort, Datum: Stuttgart, den Q3/2021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