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2021 Q4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Q4 2021 (1.10.-31.12. 2021).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Konzernabschluss 2021 testiert (KPMG, uneingeschraenktes Pruefungsurteil)</w:t>
      </w:r>
    </w:p>
    <w:p>
      <w:pPr>
        <w:pStyle w:val="ListBullet"/>
      </w:pPr>
      <w:r>
        <w:t>Konsortialkredit-Vertrag 14.3.2022 unterzeichnet (250 Mio. EUR, 5 Banken)</w:t>
      </w:r>
    </w:p>
    <w:p>
      <w:pPr>
        <w:pStyle w:val="ListBullet"/>
      </w:pPr>
      <w:r>
        <w:t>Insider-Verzeichnis im Zuge der IPO-Vorbereitung etabliert</w:t>
      </w:r>
    </w:p>
    <w:p>
      <w:pPr>
        <w:pStyle w:val="ListBullet"/>
      </w:pPr>
      <w:r>
        <w:t>Compliance-Schulungen 2021 abgeschlossen, Abdeckungsquote 97 %</w:t>
      </w:r>
    </w:p>
    <w:p>
      <w:pPr>
        <w:pStyle w:val="ListBullet"/>
      </w:pPr>
      <w:r>
        <w:t>Werks-Audit RPL Katowice: drei mittlere Findings (alle binnen Q1/2022 behoben)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2022 steht im Zeichen der IPO-Vorbereitung (Closing geplant Oktober 2022) sowie der Aktivierung der Sustainability-linked Loan-Bedingungen.</w:t>
      </w:r>
    </w:p>
    <w:p>
      <w:pPr>
        <w:pStyle w:val="Heading3"/>
      </w:pPr>
      <w:r>
        <w:t>Unterschrift</w:t>
      </w:r>
    </w:p>
    <w:p>
      <w:r>
        <w:t>Ort, Datum: Stuttgart, den Q4/2021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