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2022 Q2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Q2 2022 (1.4.-30.6. 2022).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IPO-Prospekt von BaFin gebilligt, Roadshow-Vorbereitung intensiviert</w:t>
      </w:r>
    </w:p>
    <w:p>
      <w:pPr>
        <w:pStyle w:val="ListBullet"/>
      </w:pPr>
      <w:r>
        <w:t>Erweiterung Insider-Verzeichnis, MAR-Schulungen aller PDMR abgeschlossen</w:t>
      </w:r>
    </w:p>
    <w:p>
      <w:pPr>
        <w:pStyle w:val="ListBullet"/>
      </w:pPr>
      <w:r>
        <w:t>Halbleiter-Engpaesse halten an, jedoch Lieferperformance gesichert</w:t>
      </w:r>
    </w:p>
    <w:p>
      <w:pPr>
        <w:pStyle w:val="ListBullet"/>
      </w:pPr>
      <w:r>
        <w:t>Bank-Audits durch Konsortialbanken im Mai erfolgreich</w:t>
      </w:r>
    </w:p>
    <w:p>
      <w:pPr>
        <w:pStyle w:val="ListBullet"/>
      </w:pPr>
      <w:r>
        <w:t>Cyber-Vorfall (Phishing-Welle) bei RHU Gyoer ohne Datenabfluss behoben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Mehrere kapitalmarktrechtliche Vorbereitungsschritte (Closed-Period-Regelungen, Ad-hoc-Prozesse) wurden eingefuehrt.</w:t>
      </w:r>
    </w:p>
    <w:p>
      <w:pPr>
        <w:pStyle w:val="Heading3"/>
      </w:pPr>
      <w:r>
        <w:t>Ausblick</w:t>
      </w:r>
    </w:p>
    <w:p>
      <w:r>
        <w:t>Q3/Q4 mit IPO-Closing 14.10.2022, danach Vorbereitung auf erste Quartalsmitteilung als boersennotiertes Unternehmen.</w:t>
      </w:r>
    </w:p>
    <w:p>
      <w:pPr>
        <w:pStyle w:val="Heading3"/>
      </w:pPr>
      <w:r>
        <w:t>Unterschrift</w:t>
      </w:r>
    </w:p>
    <w:p>
      <w:r>
        <w:t>Ort, Datum: Stuttgart, den Q2/2022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