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2022 Q3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Q3 2022 (1.7.-30.9. 2022).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IPO-Roadshow abgeschlossen, Pricing am 13.10.2022, Closing 14.10.2022</w:t>
      </w:r>
    </w:p>
    <w:p>
      <w:pPr>
        <w:pStyle w:val="ListBullet"/>
      </w:pPr>
      <w:r>
        <w:t>Ad-hoc-Prozesse erstmals genutzt (IPO-Erloesmeldung)</w:t>
      </w:r>
    </w:p>
    <w:p>
      <w:pPr>
        <w:pStyle w:val="ListBullet"/>
      </w:pPr>
      <w:r>
        <w:t>Erste Quartalsmitteilung Q3 als boersennotiertes Unternehmen plangemaess</w:t>
      </w:r>
    </w:p>
    <w:p>
      <w:pPr>
        <w:pStyle w:val="ListBullet"/>
      </w:pPr>
      <w:r>
        <w:t>Pruefungsausschuss-Vorsitz: Prof. Voss bestaetigt KPMG-Mandat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Keine ad-hoc-meldungspflichtigen Sachverhalte im Berichtszeitraum.</w:t>
      </w:r>
    </w:p>
    <w:p>
      <w:pPr>
        <w:pStyle w:val="Heading3"/>
      </w:pPr>
      <w:r>
        <w:t>Ausblick</w:t>
      </w:r>
    </w:p>
    <w:p>
      <w:r>
        <w:t>Q4/2022 mit Schwerpunkt auf erstem Geschaeftsbericht als boersennotiertes Unternehmen, ESG-Reporting CSRD-Vorbereitung.</w:t>
      </w:r>
    </w:p>
    <w:p>
      <w:pPr>
        <w:pStyle w:val="Heading3"/>
      </w:pPr>
      <w:r>
        <w:t>Unterschrift</w:t>
      </w:r>
    </w:p>
    <w:p>
      <w:r>
        <w:t>Ort, Datum: Stuttgart, den Q3/2022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