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2022 Q4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Q4 2022 (1.10.-31.12. 2022).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Erster Geschaeftsbericht als boersennotiertes Unternehmen 2022 in Vorbereitung</w:t>
      </w:r>
    </w:p>
    <w:p>
      <w:pPr>
        <w:pStyle w:val="ListBullet"/>
      </w:pPr>
      <w:r>
        <w:t>Aufsichtsrats-Pruefungsausschuss tagte am 14.12.2022 (Halbjahres-IFRS-Vorlage)</w:t>
      </w:r>
    </w:p>
    <w:p>
      <w:pPr>
        <w:pStyle w:val="ListBullet"/>
      </w:pPr>
      <w:r>
        <w:t>Sustainability-linked Loan-Bedingungen 2022 erstmals erfuellt (Margin-Adjust +5bp)</w:t>
      </w:r>
    </w:p>
    <w:p>
      <w:pPr>
        <w:pStyle w:val="ListBullet"/>
      </w:pPr>
      <w:r>
        <w:t>Konzern-Cyber-Vorfall (Phishing) bei RPL ohne kritischen Datenabfluss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im Berichtszeitraum.</w:t>
      </w:r>
    </w:p>
    <w:p>
      <w:pPr>
        <w:pStyle w:val="Heading3"/>
      </w:pPr>
      <w:r>
        <w:t>Ausblick</w:t>
      </w:r>
    </w:p>
    <w:p>
      <w:r>
        <w:t>2023 mit Schwerpunkten auf CSRD-Vorbereitung, ESG-Doppel-Wesentlichkeit, Werks-Audit-Programm.</w:t>
      </w:r>
    </w:p>
    <w:p>
      <w:pPr>
        <w:pStyle w:val="Heading3"/>
      </w:pPr>
      <w:r>
        <w:t>Unterschrift</w:t>
      </w:r>
    </w:p>
    <w:p>
      <w:r>
        <w:t>Ort, Datum: Stuttgart, den Q4/2022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