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2023 Q1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Q1 2023 (1.1.-31.3. 2023).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Q1-Mitteilung 2023 plangemaess veroeffentlicht (Ad-hoc-Prozess ohne Besonderheiten)</w:t>
      </w:r>
    </w:p>
    <w:p>
      <w:pPr>
        <w:pStyle w:val="ListBullet"/>
      </w:pPr>
      <w:r>
        <w:t>Hauptversammlung 2023 vom 26.5. vorbereitet (Tagesordnung beschlossen)</w:t>
      </w:r>
    </w:p>
    <w:p>
      <w:pPr>
        <w:pStyle w:val="ListBullet"/>
      </w:pPr>
      <w:r>
        <w:t>Compliance-Audit Werk Brno ohne wesentliche Findings</w:t>
      </w:r>
    </w:p>
    <w:p>
      <w:pPr>
        <w:pStyle w:val="ListBullet"/>
      </w:pPr>
      <w:r>
        <w:t>PDMR-Verzeichnis aktualisiert (Hollmann, Tanaka, Richter)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Q2 mit Hauptversammlung 2023 und Vorbereitung Aufsichtsrats-Sitzungen H2.</w:t>
      </w:r>
    </w:p>
    <w:p>
      <w:pPr>
        <w:pStyle w:val="Heading3"/>
      </w:pPr>
      <w:r>
        <w:t>Unterschrift</w:t>
      </w:r>
    </w:p>
    <w:p>
      <w:r>
        <w:t>Ort, Datum: Stuttgart, den Q1/2023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