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2023 Q2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Q2 2023 (1.4.-30.6. 2023).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Hauptversammlung 2023 erfolgreich (Beschluesse zu Dividende und Entlastung)</w:t>
      </w:r>
    </w:p>
    <w:p>
      <w:pPr>
        <w:pStyle w:val="ListBullet"/>
      </w:pPr>
      <w:r>
        <w:t>Vorstandsbestellungen Hollmann (CTO ab 1.7.2024) und Tanaka (CRO Asia ab 1.4.2024) durch AR beschlossen</w:t>
      </w:r>
    </w:p>
    <w:p>
      <w:pPr>
        <w:pStyle w:val="ListBullet"/>
      </w:pPr>
      <w:r>
        <w:t>Werks-Audits Heilbronn / Katowice im Plan ohne wesentliche Findings</w:t>
      </w:r>
    </w:p>
    <w:p>
      <w:pPr>
        <w:pStyle w:val="ListBullet"/>
      </w:pPr>
      <w:r>
        <w:t>ESG-Doppel-Wesentlichkeitsanalyse durchgefuehrt (Stakeholder-Workshops)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im Berichtszeitraum.</w:t>
      </w:r>
    </w:p>
    <w:p>
      <w:pPr>
        <w:pStyle w:val="Heading3"/>
      </w:pPr>
      <w:r>
        <w:t>Ausblick</w:t>
      </w:r>
    </w:p>
    <w:p>
      <w:r>
        <w:t>H2 mit Schwerpunkten auf Q3-Mitteilung, CSRD-Reporting Pilot, Konsortialkredit-Audit.</w:t>
      </w:r>
    </w:p>
    <w:p>
      <w:pPr>
        <w:pStyle w:val="Heading3"/>
      </w:pPr>
      <w:r>
        <w:t>Unterschrift</w:t>
      </w:r>
    </w:p>
    <w:p>
      <w:r>
        <w:t>Ort, Datum: Stuttgart, den Q2/2023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