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Konzern-Governance-Report 2023 Q3</w:t>
      </w:r>
    </w:p>
    <w:p>
      <w:pPr>
        <w:jc w:val="center"/>
      </w:pPr>
      <w:r>
        <w:t>Quartalsbericht des Konzerncontrolling / Group Compliance Office an Vorstand und Aufsichtsrat</w:t>
      </w:r>
    </w:p>
    <w:p/>
    <w:p>
      <w:pPr>
        <w:pStyle w:val="Heading3"/>
      </w:pPr>
      <w:r>
        <w:t>Berichtsperiode</w:t>
      </w:r>
    </w:p>
    <w:p>
      <w:r>
        <w:t>Berichtsperiode: Q3 2023 (1.7.-30.9. 2023). Vorlage an Vorstand am ersten Freitag des Folgemonats; Vorlage an Aufsichtsrat in der naechsten turnusmaessigen Sitzung. Bericht erstellt durch Group Compliance Office (Stuttgart), abgestimmt mit Group Controlling (Florian Maier) und Group Audit (Andreas Buehler).</w:t>
      </w:r>
    </w:p>
    <w:p>
      <w:pPr>
        <w:pStyle w:val="Heading3"/>
      </w:pPr>
      <w:r>
        <w:t>Highlights und Schwerpunktthemen</w:t>
      </w:r>
    </w:p>
    <w:p>
      <w:pPr>
        <w:pStyle w:val="ListBullet"/>
      </w:pPr>
      <w:r>
        <w:t>Q3-Mitteilung plangemaess veroeffentlicht</w:t>
      </w:r>
    </w:p>
    <w:p>
      <w:pPr>
        <w:pStyle w:val="ListBullet"/>
      </w:pPr>
      <w:r>
        <w:t>Cyber-Sicherheitsuebung konzernweit erfolgreich</w:t>
      </w:r>
    </w:p>
    <w:p>
      <w:pPr>
        <w:pStyle w:val="ListBullet"/>
      </w:pPr>
      <w:r>
        <w:t>Vorbereitung HV 2024 begonnen (Termin 24.5.2024)</w:t>
      </w:r>
    </w:p>
    <w:p>
      <w:pPr>
        <w:pStyle w:val="ListBullet"/>
      </w:pPr>
      <w:r>
        <w:t>LkSG-Compliance: Risikoanalyse aller Tier-1-Lieferanten abgeschlossen</w:t>
      </w:r>
    </w:p>
    <w:p>
      <w:pPr>
        <w:pStyle w:val="Heading3"/>
      </w:pPr>
      <w:r>
        <w:t>Status der Tochtergesellschaften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Gesellschaft</w:t>
            </w:r>
          </w:p>
        </w:tc>
        <w:tc>
          <w:tcPr>
            <w:tcW w:type="dxa" w:w="2160"/>
          </w:tcPr>
          <w:p>
            <w:r>
              <w:t>Sitz</w:t>
            </w:r>
          </w:p>
        </w:tc>
        <w:tc>
          <w:tcPr>
            <w:tcW w:type="dxa" w:w="2160"/>
          </w:tcPr>
          <w:p>
            <w:r>
              <w:t>Compliance-Status</w:t>
            </w:r>
          </w:p>
        </w:tc>
        <w:tc>
          <w:tcPr>
            <w:tcW w:type="dxa" w:w="2160"/>
          </w:tcPr>
          <w:p>
            <w:r>
              <w:t>Bemerkung</w:t>
            </w:r>
          </w:p>
        </w:tc>
      </w:tr>
      <w:tr>
        <w:tc>
          <w:tcPr>
            <w:tcW w:type="dxa" w:w="2160"/>
          </w:tcPr>
          <w:p>
            <w:r>
              <w:t>REA (Mutter)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REG</w:t>
            </w:r>
          </w:p>
        </w:tc>
        <w:tc>
          <w:tcPr>
            <w:tcW w:type="dxa" w:w="2160"/>
          </w:tcPr>
          <w:p>
            <w:r>
              <w:t>Heilbronn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RSG</w:t>
            </w:r>
          </w:p>
        </w:tc>
        <w:tc>
          <w:tcPr>
            <w:tcW w:type="dxa" w:w="2160"/>
          </w:tcPr>
          <w:p>
            <w:r>
              <w:t>Muenchen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RPL</w:t>
            </w:r>
          </w:p>
        </w:tc>
        <w:tc>
          <w:tcPr>
            <w:tcW w:type="dxa" w:w="2160"/>
          </w:tcPr>
          <w:p>
            <w:r>
              <w:t>Katowice (PL)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Audit-Findings aus 2022 abgearbeitet</w:t>
            </w:r>
          </w:p>
        </w:tc>
      </w:tr>
      <w:tr>
        <w:tc>
          <w:tcPr>
            <w:tcW w:type="dxa" w:w="2160"/>
          </w:tcPr>
          <w:p>
            <w:r>
              <w:t>RCZ</w:t>
            </w:r>
          </w:p>
        </w:tc>
        <w:tc>
          <w:tcPr>
            <w:tcW w:type="dxa" w:w="2160"/>
          </w:tcPr>
          <w:p>
            <w:r>
              <w:t>Brno (CZ)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RHU</w:t>
            </w:r>
          </w:p>
        </w:tc>
        <w:tc>
          <w:tcPr>
            <w:tcW w:type="dxa" w:w="2160"/>
          </w:tcPr>
          <w:p>
            <w:r>
              <w:t>Gyoer (HU)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RCN</w:t>
            </w:r>
          </w:p>
        </w:tc>
        <w:tc>
          <w:tcPr>
            <w:tcW w:type="dxa" w:w="2160"/>
          </w:tcPr>
          <w:p>
            <w:r>
              <w:t>Shanghai (CN)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Cyber-Audit Q2 erfolgreich</w:t>
            </w:r>
          </w:p>
        </w:tc>
      </w:tr>
      <w:tr>
        <w:tc>
          <w:tcPr>
            <w:tcW w:type="dxa" w:w="2160"/>
          </w:tcPr>
          <w:p>
            <w:r>
              <w:t>RHO</w:t>
            </w:r>
          </w:p>
        </w:tc>
        <w:tc>
          <w:tcPr>
            <w:tcW w:type="dxa" w:w="2160"/>
          </w:tcPr>
          <w:p>
            <w:r>
              <w:t>Stuttgart (DE)</w:t>
            </w:r>
          </w:p>
        </w:tc>
        <w:tc>
          <w:tcPr>
            <w:tcW w:type="dxa" w:w="2160"/>
          </w:tcPr>
          <w:p>
            <w:r>
              <w:t>voll konform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Governance-Indikatoren</w:t>
      </w:r>
    </w:p>
    <w:p>
      <w:pPr>
        <w:pStyle w:val="ListBullet"/>
      </w:pPr>
      <w:r>
        <w:t>Compliance-Schulungen: Teilnahmequote im Quartal &gt; 95 % (Sollwert 95 %)</w:t>
      </w:r>
    </w:p>
    <w:p>
      <w:pPr>
        <w:pStyle w:val="ListBullet"/>
      </w:pPr>
      <w:r>
        <w:t>Hinweisgeber-Faelle (Whistleblowing): siehe Anhang 1 (vertraulich)</w:t>
      </w:r>
    </w:p>
    <w:p>
      <w:pPr>
        <w:pStyle w:val="ListBullet"/>
      </w:pPr>
      <w:r>
        <w:t>Offene Audit-Findings: siehe Group-Audit-Quartals-Dashboard (Anhang 2)</w:t>
      </w:r>
    </w:p>
    <w:p>
      <w:pPr>
        <w:pStyle w:val="ListBullet"/>
      </w:pPr>
      <w:r>
        <w:t>D&amp;O-Schadensfaelle / Klageandrohungen: keine relevanten Faelle im Berichtszeitraum (sofern nicht anders vermerkt)</w:t>
      </w:r>
    </w:p>
    <w:p>
      <w:pPr>
        <w:pStyle w:val="ListBullet"/>
      </w:pPr>
      <w:r>
        <w:t>ESG-Compliance gem. CSRD-Vorbereitung: planmaessig im Zeitplan</w:t>
      </w:r>
    </w:p>
    <w:p>
      <w:pPr>
        <w:pStyle w:val="Heading3"/>
      </w:pPr>
      <w:r>
        <w:t>Risikoeinschaetzung</w:t>
      </w:r>
    </w:p>
    <w:p>
      <w:r>
        <w:t>Die Top-5-Konzernrisiken werden quartalsweise im Risk-Committee unter Leitung des CFO (Laura Bauer) bewertet. Aktuelle Top-5: (1) Lieferkettenrisiken Halbleiter, (2) FX-Volatilitaet CNY/USD, (3) regulatorische Aenderungen ESG/CSRD, (4) Cyber-Risiken (Ransomware), (5) Personalrisiko Top-Engineering-Faecher. Detaillierter Risk-Report siehe separates Dokument.</w:t>
      </w:r>
    </w:p>
    <w:p>
      <w:pPr>
        <w:pStyle w:val="Heading3"/>
      </w:pPr>
      <w:r>
        <w:t>Besonderheiten</w:t>
      </w:r>
    </w:p>
    <w:p>
      <w:r>
        <w:t>Keine ad-hoc-meldungspflichtigen Sachverhalte im Berichtszeitraum.</w:t>
      </w:r>
    </w:p>
    <w:p>
      <w:pPr>
        <w:pStyle w:val="Heading3"/>
      </w:pPr>
      <w:r>
        <w:t>Ausblick</w:t>
      </w:r>
    </w:p>
    <w:p>
      <w:r>
        <w:t>Q4 mit Schwerpunkten Jahresabschluss-Vorbereitung, ESG-Reporting CSRD-Pilot, Konsortialbanken-Jahresgespraeche.</w:t>
      </w:r>
    </w:p>
    <w:p>
      <w:pPr>
        <w:pStyle w:val="Heading3"/>
      </w:pPr>
      <w:r>
        <w:t>Unterschrift</w:t>
      </w:r>
    </w:p>
    <w:p>
      <w:r>
        <w:t>Ort, Datum: Stuttgart, den Q3/2023</w:t>
      </w:r>
    </w:p>
    <w:p>
      <w:r>
        <w:t>_________________________            _________________________</w:t>
        <w:br/>
        <w:t>Anna Mueller                          Andreas Buehler</w:t>
        <w:br/>
        <w:t>Vorstandsvorsitzende                          Chief Audit Executive (CAE)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