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2023 Q4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Q4 2023 (1.10.-31.12. 2023).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Konzernabschluss 2023 in Vorbereitung (Pruefung durch KPMG laeuft)</w:t>
      </w:r>
    </w:p>
    <w:p>
      <w:pPr>
        <w:pStyle w:val="ListBullet"/>
      </w:pPr>
      <w:r>
        <w:t>Werks-Audit Gyoer im November abgeschlossen ohne wesentliche Findings</w:t>
      </w:r>
    </w:p>
    <w:p>
      <w:pPr>
        <w:pStyle w:val="ListBullet"/>
      </w:pPr>
      <w:r>
        <w:t>Compliance-Schulungen 2023 zu 96 % abgeschlossen</w:t>
      </w:r>
    </w:p>
    <w:p>
      <w:pPr>
        <w:pStyle w:val="ListBullet"/>
      </w:pPr>
      <w:r>
        <w:t>Vorbereitung Vorstandswechsel Hoffmann → Hollmann (CTO) zum 1.7.2024 angelaufen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2024 fokussiert auf CSRD-Vollumsetzung, Vorstandstransition, Konsortialkredit-Refinanzierung (Faelligkeit 14.3.2027 vorbereiten).</w:t>
      </w:r>
    </w:p>
    <w:p>
      <w:pPr>
        <w:pStyle w:val="Heading3"/>
      </w:pPr>
      <w:r>
        <w:t>Unterschrift</w:t>
      </w:r>
    </w:p>
    <w:p>
      <w:r>
        <w:t>Ort, Datum: Stuttgart, den Q4/2023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