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Konzernlagebericht 2023</w:t>
      </w:r>
    </w:p>
    <w:p>
      <w:pPr>
        <w:jc w:val="center"/>
      </w:pPr>
      <w:r>
        <w:t>Brennhagen Elektronik AG, Konzernabschluss IFRS, Geschaeftsjahr 2023</w:t>
      </w:r>
    </w:p>
    <w:p/>
    <w:p>
      <w:pPr>
        <w:pStyle w:val="Heading3"/>
      </w:pPr>
      <w:r>
        <w:t>Gesamtaussage zur wirtschaftlichen Lage</w:t>
      </w:r>
    </w:p>
    <w:p>
      <w:r>
        <w:t>Das Geschaeftsjahr 2023 verlief fuer den Brennhagen-Konzern insgesamt erfolgreich. Der Konzernumsatz erreichte 612 Mio. EUR (Vorjahr-Vergleich siehe Konzernabschluss). Das EBIT lag bei 48.9 Mio. EUR, das EBITDA bei 74.3 Mio. EUR. Die Konzern-Mitarbeiterzahl stieg auf 4180 FTE zum Bilanzstichtag. Trotz volatiler Markt- und Lieferkettenbedingungen konnte die Profitabilitaet der Vorjahresperiode bestaetigt werden.</w:t>
      </w:r>
    </w:p>
    <w:p>
      <w:pPr>
        <w:pStyle w:val="Heading3"/>
      </w:pPr>
      <w:r>
        <w:t>Geschaeftsverlauf und Lage</w:t>
      </w:r>
    </w:p>
    <w:p>
      <w:r>
        <w:t>Die Nachfrage nach unseren Kernprodukten (ICP-3, BMS-12, ADAS-V4D, ECU-900, LightCtrl-7) war stabil bis steigend. Insbesondere das Batteriemanagement-System BMS-12 entwickelte sich in Folge der OEM-Anlaeufe bei Volkswagen (ID.7) sehr positiv. Im Bereich ADAS-V4D wurden weitere Designwins bei Mercedes-Benz und Stellantis erzielt. Die regionalen Werke REG Heilbronn, RPL Katowice, RCZ Brno und RHU Gyoer waren ueber das Jahr gut ausgelastet. RSG Muenchen verzeichnete weiteren Aufbau im Bereich ADAS-Software (ASPICE Level 2-3).</w:t>
      </w:r>
    </w:p>
    <w:p>
      <w:pPr>
        <w:pStyle w:val="Heading3"/>
      </w:pPr>
      <w:r>
        <w:t>Schwerpunktthemen</w:t>
      </w:r>
    </w:p>
    <w:p>
      <w:pPr>
        <w:pStyle w:val="ListBullet"/>
      </w:pPr>
      <w:r>
        <w:t>Erster vollstaendiger Geschaeftsbericht als boersennotiertes Unternehmen</w:t>
      </w:r>
    </w:p>
    <w:p>
      <w:pPr>
        <w:pStyle w:val="ListBullet"/>
      </w:pPr>
      <w:r>
        <w:t>BMS-12-Anlauf VW ID.7 erfolgreich, hohe Nachfrage in H2/2023</w:t>
      </w:r>
    </w:p>
    <w:p>
      <w:pPr>
        <w:pStyle w:val="ListBullet"/>
      </w:pPr>
      <w:r>
        <w:t>ADAS-V4D Designwins bei Mercedes und Stellantis</w:t>
      </w:r>
    </w:p>
    <w:p>
      <w:pPr>
        <w:pStyle w:val="ListBullet"/>
      </w:pPr>
      <w:r>
        <w:t>Werkserweiterungen Heilbronn (Linie 4 BMS-12) und Katowice (SMD)</w:t>
      </w:r>
    </w:p>
    <w:p>
      <w:pPr>
        <w:pStyle w:val="ListBullet"/>
      </w:pPr>
      <w:r>
        <w:t>ESG: Scope 1+2 -15 % ggue. 2019 (Sustainability-linked Loan Trigger erfuellt)</w:t>
      </w:r>
    </w:p>
    <w:p>
      <w:pPr>
        <w:pStyle w:val="Heading3"/>
      </w:pPr>
      <w:r>
        <w:t>Wesentliche Konzernfinanzkennzahlen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Kennzahl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Umsatzerloese (Mio. EUR)</w:t>
            </w:r>
          </w:p>
        </w:tc>
        <w:tc>
          <w:tcPr>
            <w:tcW w:type="dxa" w:w="4320"/>
          </w:tcPr>
          <w:p>
            <w:r>
              <w:t>612</w:t>
            </w:r>
          </w:p>
        </w:tc>
      </w:tr>
      <w:tr>
        <w:tc>
          <w:tcPr>
            <w:tcW w:type="dxa" w:w="4320"/>
          </w:tcPr>
          <w:p>
            <w:r>
              <w:t>EBITDA (Mio. EUR)</w:t>
            </w:r>
          </w:p>
        </w:tc>
        <w:tc>
          <w:tcPr>
            <w:tcW w:type="dxa" w:w="4320"/>
          </w:tcPr>
          <w:p>
            <w:r>
              <w:t>74.3</w:t>
            </w:r>
          </w:p>
        </w:tc>
      </w:tr>
      <w:tr>
        <w:tc>
          <w:tcPr>
            <w:tcW w:type="dxa" w:w="4320"/>
          </w:tcPr>
          <w:p>
            <w:r>
              <w:t>EBIT (Mio. EUR)</w:t>
            </w:r>
          </w:p>
        </w:tc>
        <w:tc>
          <w:tcPr>
            <w:tcW w:type="dxa" w:w="4320"/>
          </w:tcPr>
          <w:p>
            <w:r>
              <w:t>48.9</w:t>
            </w:r>
          </w:p>
        </w:tc>
      </w:tr>
      <w:tr>
        <w:tc>
          <w:tcPr>
            <w:tcW w:type="dxa" w:w="4320"/>
          </w:tcPr>
          <w:p>
            <w:r>
              <w:t>Beschaeftigte (FTE)</w:t>
            </w:r>
          </w:p>
        </w:tc>
        <w:tc>
          <w:tcPr>
            <w:tcW w:type="dxa" w:w="4320"/>
          </w:tcPr>
          <w:p>
            <w:r>
              <w:t>4180</w:t>
            </w:r>
          </w:p>
        </w:tc>
      </w:tr>
      <w:tr>
        <w:tc>
          <w:tcPr>
            <w:tcW w:type="dxa" w:w="4320"/>
          </w:tcPr>
          <w:p>
            <w:r>
              <w:t>Dividende EUR/Aktie</w:t>
            </w:r>
          </w:p>
        </w:tc>
        <w:tc>
          <w:tcPr>
            <w:tcW w:type="dxa" w:w="4320"/>
          </w:tcPr>
          <w:p>
            <w:r>
              <w:t>2,10 (geplant)</w:t>
            </w:r>
          </w:p>
        </w:tc>
      </w:tr>
    </w:tbl>
    <w:p>
      <w:pPr>
        <w:pStyle w:val="Heading3"/>
      </w:pPr>
      <w:r>
        <w:t>Finanzlage / Finanzierung</w:t>
      </w:r>
    </w:p>
    <w:p>
      <w:r>
        <w:t>Die Konzernfinanzierung erfolgt ueber den Konsortialkreditvertrag 2022 (250 Mio. EUR, Laufzeit bis 14.3.2027, Konsortium 5 Banken). Die Financial Covenants (Net Debt/EBITDA ≤ 3,0x, ICR ≥ 4,0x, EQ-Quote ≥ 30 %) wurden zu allen Stichtagen eingehalten. Liquiditaet zum Bilanzstichtag war komfortabel; Nettoverschuldung deutlich unter den Covenants.</w:t>
      </w:r>
    </w:p>
    <w:p>
      <w:pPr>
        <w:pStyle w:val="Heading3"/>
      </w:pPr>
      <w:r>
        <w:t>Risiken und Chancen</w:t>
      </w:r>
    </w:p>
    <w:p>
      <w:r>
        <w:t>Wesentliche Konzernrisiken: Halbleiterversorgung, FX-Volatilitaet (CNY/USD), regulatorische Aenderungen (CSRD, EU AI Act, Lieferkettengesetz), Cyberrisiken, Personalbindung. Wesentliche Chancen: Wachstum E-Mobility (BMS-12), Level-3-Automatisierung (ADAS-V4D), Asien-Geschaeft (RCN Shanghai). Risikomanagement folgt dem Konzern-Framework gem. IDW PS 340 / COSO ERM.</w:t>
      </w:r>
    </w:p>
    <w:p>
      <w:pPr>
        <w:pStyle w:val="Heading3"/>
      </w:pPr>
      <w:r>
        <w:t>Prognosebericht / Ausblick</w:t>
      </w:r>
    </w:p>
    <w:p>
      <w:r>
        <w:t>Fuer 2024 erwartet der Vorstand einen Umsatzanstieg auf 640–660 Mio. EUR und ein EBIT in der Spanne 50–52 Mio. EUR. CSRD-Berichtspflicht wird vollumfaenglich erfuellt. Vorstandstransition (CTO Hollmann ab 1.7.2024) ist im Plan.</w:t>
      </w:r>
    </w:p>
    <w:p>
      <w:pPr>
        <w:pStyle w:val="Heading3"/>
      </w:pPr>
      <w:r>
        <w:t>Unterschrift Vorstand</w:t>
      </w:r>
    </w:p>
    <w:p>
      <w:r>
        <w:t>Ort, Datum: Stuttgart, den 15. Maerz 2024</w:t>
      </w:r>
    </w:p>
    <w:p>
      <w:r>
        <w:t>_________________________            _________________________</w:t>
        <w:br/>
        <w:t>Anna Mueller                          Laura Bauer</w:t>
        <w:br/>
        <w:t>Vorstandsvorsitzende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