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Konzernstrukturübersicht – Brennhagen Elektronik AG</w:t>
      </w:r>
    </w:p>
    <w:p/>
    <w:p>
      <w:pPr>
        <w:pStyle w:val="Heading3"/>
      </w:pPr>
      <w:r>
        <w:t>Überblick</w:t>
      </w:r>
    </w:p>
    <w:p>
      <w:r>
        <w:t>Die Brennhagen Elektronik AG (ISIN DE000RHGRP12) ist die börsennotierte Muttergesellschaft des Brennhagen-Konzerns. Das Unternehmen ist im TecDAX notiert (ROHL.DE (XETRA / TecDAX)).</w:t>
      </w:r>
    </w:p>
    <w:p>
      <w:pPr>
        <w:pStyle w:val="Heading3"/>
      </w:pPr>
      <w:r>
        <w:t>Konzernstruktur (vereinfachte Darstellung)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Gesellschaft</w:t>
            </w:r>
          </w:p>
        </w:tc>
        <w:tc>
          <w:tcPr>
            <w:tcW w:type="dxa" w:w="1440"/>
          </w:tcPr>
          <w:p>
            <w:r>
              <w:t>Kürzel</w:t>
            </w:r>
          </w:p>
        </w:tc>
        <w:tc>
          <w:tcPr>
            <w:tcW w:type="dxa" w:w="1440"/>
          </w:tcPr>
          <w:p>
            <w:r>
              <w:t>Sitz</w:t>
            </w:r>
          </w:p>
        </w:tc>
        <w:tc>
          <w:tcPr>
            <w:tcW w:type="dxa" w:w="1440"/>
          </w:tcPr>
          <w:p>
            <w:r>
              <w:t>Land</w:t>
            </w:r>
          </w:p>
        </w:tc>
        <w:tc>
          <w:tcPr>
            <w:tcW w:type="dxa" w:w="1440"/>
          </w:tcPr>
          <w:p>
            <w:r>
              <w:t>Beteiligung REA</w:t>
            </w:r>
          </w:p>
        </w:tc>
        <w:tc>
          <w:tcPr>
            <w:tcW w:type="dxa" w:w="1440"/>
          </w:tcPr>
          <w:p>
            <w:r>
              <w:t>Funktion</w:t>
            </w:r>
          </w:p>
        </w:tc>
      </w:tr>
      <w:tr>
        <w:tc>
          <w:tcPr>
            <w:tcW w:type="dxa" w:w="1440"/>
          </w:tcPr>
          <w:p>
            <w:r>
              <w:t>Brennhagen Elektronik AG</w:t>
            </w:r>
          </w:p>
        </w:tc>
        <w:tc>
          <w:tcPr>
            <w:tcW w:type="dxa" w:w="1440"/>
          </w:tcPr>
          <w:p>
            <w:r>
              <w:t>REA</w:t>
            </w:r>
          </w:p>
        </w:tc>
        <w:tc>
          <w:tcPr>
            <w:tcW w:type="dxa" w:w="1440"/>
          </w:tcPr>
          <w:p>
            <w:r>
              <w:t>Stuttgart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Muttergesellschaft</w:t>
            </w:r>
          </w:p>
        </w:tc>
        <w:tc>
          <w:tcPr>
            <w:tcW w:type="dxa" w:w="1440"/>
          </w:tcPr>
          <w:p>
            <w:r>
              <w:t>Börsennotierte Holding / AG</w:t>
            </w:r>
          </w:p>
        </w:tc>
      </w:tr>
      <w:tr>
        <w:tc>
          <w:tcPr>
            <w:tcW w:type="dxa" w:w="1440"/>
          </w:tcPr>
          <w:p>
            <w:r>
              <w:t>Brennhagen Elektronik GmbH</w:t>
            </w:r>
          </w:p>
        </w:tc>
        <w:tc>
          <w:tcPr>
            <w:tcW w:type="dxa" w:w="1440"/>
          </w:tcPr>
          <w:p>
            <w:r>
              <w:t>REG</w:t>
            </w:r>
          </w:p>
        </w:tc>
        <w:tc>
          <w:tcPr>
            <w:tcW w:type="dxa" w:w="1440"/>
          </w:tcPr>
          <w:p>
            <w:r>
              <w:t>Heilbronn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Produktion / Hauptwerk</w:t>
            </w:r>
          </w:p>
        </w:tc>
      </w:tr>
      <w:tr>
        <w:tc>
          <w:tcPr>
            <w:tcW w:type="dxa" w:w="1440"/>
          </w:tcPr>
          <w:p>
            <w:r>
              <w:t>Brennhagen Software GmbH</w:t>
            </w:r>
          </w:p>
        </w:tc>
        <w:tc>
          <w:tcPr>
            <w:tcW w:type="dxa" w:w="1440"/>
          </w:tcPr>
          <w:p>
            <w:r>
              <w:t>RSG</w:t>
            </w:r>
          </w:p>
        </w:tc>
        <w:tc>
          <w:tcPr>
            <w:tcW w:type="dxa" w:w="1440"/>
          </w:tcPr>
          <w:p>
            <w:r>
              <w:t>München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Embedded Software / ADAS</w:t>
            </w:r>
          </w:p>
        </w:tc>
      </w:tr>
      <w:tr>
        <w:tc>
          <w:tcPr>
            <w:tcW w:type="dxa" w:w="1440"/>
          </w:tcPr>
          <w:p>
            <w:r>
              <w:t>Brennhagen Polska sp. z o.o.</w:t>
            </w:r>
          </w:p>
        </w:tc>
        <w:tc>
          <w:tcPr>
            <w:tcW w:type="dxa" w:w="1440"/>
          </w:tcPr>
          <w:p>
            <w:r>
              <w:t>RPL</w:t>
            </w:r>
          </w:p>
        </w:tc>
        <w:tc>
          <w:tcPr>
            <w:tcW w:type="dxa" w:w="1440"/>
          </w:tcPr>
          <w:p>
            <w:r>
              <w:t>Katowice</w:t>
            </w:r>
          </w:p>
        </w:tc>
        <w:tc>
          <w:tcPr>
            <w:tcW w:type="dxa" w:w="1440"/>
          </w:tcPr>
          <w:p>
            <w:r>
              <w:t>PL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Produktion / Kostenoptimierung</w:t>
            </w:r>
          </w:p>
        </w:tc>
      </w:tr>
      <w:tr>
        <w:tc>
          <w:tcPr>
            <w:tcW w:type="dxa" w:w="1440"/>
          </w:tcPr>
          <w:p>
            <w:r>
              <w:t>Brennhagen Czech s.r.o.</w:t>
            </w:r>
          </w:p>
        </w:tc>
        <w:tc>
          <w:tcPr>
            <w:tcW w:type="dxa" w:w="1440"/>
          </w:tcPr>
          <w:p>
            <w:r>
              <w:t>RCZ</w:t>
            </w:r>
          </w:p>
        </w:tc>
        <w:tc>
          <w:tcPr>
            <w:tcW w:type="dxa" w:w="1440"/>
          </w:tcPr>
          <w:p>
            <w:r>
              <w:t>Brno</w:t>
            </w:r>
          </w:p>
        </w:tc>
        <w:tc>
          <w:tcPr>
            <w:tcW w:type="dxa" w:w="1440"/>
          </w:tcPr>
          <w:p>
            <w:r>
              <w:t>CZ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Engineering / Entwicklung</w:t>
            </w:r>
          </w:p>
        </w:tc>
      </w:tr>
      <w:tr>
        <w:tc>
          <w:tcPr>
            <w:tcW w:type="dxa" w:w="1440"/>
          </w:tcPr>
          <w:p>
            <w:r>
              <w:t>Brennhagen Hungary Kft.</w:t>
            </w:r>
          </w:p>
        </w:tc>
        <w:tc>
          <w:tcPr>
            <w:tcW w:type="dxa" w:w="1440"/>
          </w:tcPr>
          <w:p>
            <w:r>
              <w:t>RHU</w:t>
            </w:r>
          </w:p>
        </w:tc>
        <w:tc>
          <w:tcPr>
            <w:tcW w:type="dxa" w:w="1440"/>
          </w:tcPr>
          <w:p>
            <w:r>
              <w:t>Győr</w:t>
            </w:r>
          </w:p>
        </w:tc>
        <w:tc>
          <w:tcPr>
            <w:tcW w:type="dxa" w:w="1440"/>
          </w:tcPr>
          <w:p>
            <w:r>
              <w:t>HU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Produktion (EV-Komponenten)</w:t>
            </w:r>
          </w:p>
        </w:tc>
      </w:tr>
      <w:tr>
        <w:tc>
          <w:tcPr>
            <w:tcW w:type="dxa" w:w="1440"/>
          </w:tcPr>
          <w:p>
            <w:r>
              <w:t>Brennhagen Electronics (China) Ltd.</w:t>
            </w:r>
          </w:p>
        </w:tc>
        <w:tc>
          <w:tcPr>
            <w:tcW w:type="dxa" w:w="1440"/>
          </w:tcPr>
          <w:p>
            <w:r>
              <w:t>RCN</w:t>
            </w:r>
          </w:p>
        </w:tc>
        <w:tc>
          <w:tcPr>
            <w:tcW w:type="dxa" w:w="1440"/>
          </w:tcPr>
          <w:p>
            <w:r>
              <w:t>Shanghai</w:t>
            </w:r>
          </w:p>
        </w:tc>
        <w:tc>
          <w:tcPr>
            <w:tcW w:type="dxa" w:w="1440"/>
          </w:tcPr>
          <w:p>
            <w:r>
              <w:t>CN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Vertrieb / Lokale Produktion</w:t>
            </w:r>
          </w:p>
        </w:tc>
      </w:tr>
      <w:tr>
        <w:tc>
          <w:tcPr>
            <w:tcW w:type="dxa" w:w="1440"/>
          </w:tcPr>
          <w:p>
            <w:r>
              <w:t>Brennhagen Finance GmbH</w:t>
            </w:r>
          </w:p>
        </w:tc>
        <w:tc>
          <w:tcPr>
            <w:tcW w:type="dxa" w:w="1440"/>
          </w:tcPr>
          <w:p>
            <w:r>
              <w:t>RFI</w:t>
            </w:r>
          </w:p>
        </w:tc>
        <w:tc>
          <w:tcPr>
            <w:tcW w:type="dxa" w:w="1440"/>
          </w:tcPr>
          <w:p>
            <w:r>
              <w:t>Luxembourg</w:t>
            </w:r>
          </w:p>
        </w:tc>
        <w:tc>
          <w:tcPr>
            <w:tcW w:type="dxa" w:w="1440"/>
          </w:tcPr>
          <w:p>
            <w:r>
              <w:t>LU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Konzernfinanzierung / Treasury</w:t>
            </w:r>
          </w:p>
        </w:tc>
      </w:tr>
      <w:tr>
        <w:tc>
          <w:tcPr>
            <w:tcW w:type="dxa" w:w="1440"/>
          </w:tcPr>
          <w:p>
            <w:r>
              <w:t>Brennhagen Holding GmbH</w:t>
            </w:r>
          </w:p>
        </w:tc>
        <w:tc>
          <w:tcPr>
            <w:tcW w:type="dxa" w:w="1440"/>
          </w:tcPr>
          <w:p>
            <w:r>
              <w:t>RHO</w:t>
            </w:r>
          </w:p>
        </w:tc>
        <w:tc>
          <w:tcPr>
            <w:tcW w:type="dxa" w:w="1440"/>
          </w:tcPr>
          <w:p>
            <w:r>
              <w:t>Stuttgart</w:t>
            </w:r>
          </w:p>
        </w:tc>
        <w:tc>
          <w:tcPr>
            <w:tcW w:type="dxa" w:w="1440"/>
          </w:tcPr>
          <w:p>
            <w:r>
              <w:t>DE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Holding / Managementgesellschaft</w:t>
            </w:r>
          </w:p>
        </w:tc>
      </w:tr>
    </w:tbl>
    <w:p>
      <w:pPr>
        <w:pStyle w:val="Heading3"/>
      </w:pPr>
      <w:r>
        <w:t>Beteiligungshistorie</w:t>
      </w:r>
    </w:p>
    <w:p>
      <w:r>
        <w:t>Die Konzernstruktur hat sich wie folgt entwickelt:</w:t>
      </w:r>
    </w:p>
    <w:p>
      <w:r>
        <w:t>2018 – Erwerb der Brennhagen Czech s.r.o. (Brno), vormals eigenständig, Kaufpreis EUR 28,5 Mio.</w:t>
      </w:r>
    </w:p>
    <w:p>
      <w:r>
        <w:t>2019 – Erwerb der Brennhagen Hungary Kft. (Győr) im Rahmen einer Brownfield-Investition, Kaufpreis EUR 19,2 Mio.</w:t>
      </w:r>
    </w:p>
    <w:p>
      <w:r>
        <w:t>2021 – Umwandlung des Shanghai Joint Venture in eine 100%-Tochtergesellschaft, Abfindung des lokalen Partners über EUR 8,4 Mio.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