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HRB 726451 | Amtsgericht Stuttgart</w:t>
      </w:r>
    </w:p>
    <w:p>
      <w:r>
        <w:t>────────────────────────────────────────────────────────────────────────────────</w:t>
      </w:r>
    </w:p>
    <w:p>
      <w:pPr>
        <w:pStyle w:val="Heading2"/>
      </w:pPr>
      <w:r>
        <w:t>Satzung der Brennhagen Elektronik AG</w:t>
      </w:r>
    </w:p>
    <w:p/>
    <w:p>
      <w:pPr>
        <w:pStyle w:val="Heading3"/>
      </w:pPr>
      <w:r>
        <w:t>Präambel</w:t>
      </w:r>
    </w:p>
    <w:p>
      <w:r>
        <w:t>Die Brennhagen Elektronik AG (nachfolgend &lt;&lt;Gesellschaft&lt;&lt;) wurde am 18. März 1962 gegründet und &gt;&gt;ist im Handelsregister des Amtsgericht Stuttgart unter HRB 726451 eingetragen. Die nachfolgende Satzung wurde zuletzt durch Beschluss der Hauptversammlung vom 12. Mai 2023 geändert.</w:t>
      </w:r>
    </w:p>
    <w:p>
      <w:pPr>
        <w:pStyle w:val="Heading3"/>
      </w:pPr>
      <w:r>
        <w:t>§ 1 Firma und Sitz</w:t>
      </w:r>
    </w:p>
    <w:p>
      <w:r>
        <w:t>(1) Die Gesellschaft führt die Firma: Brennhagen Elektronik AG.</w:t>
      </w:r>
    </w:p>
    <w:p>
      <w:r>
        <w:t>(2) Der Sitz der Gesellschaft ist Stuttgart.</w:t>
      </w:r>
    </w:p>
    <w:p>
      <w:pPr>
        <w:pStyle w:val="Heading3"/>
      </w:pPr>
      <w:r>
        <w:t>§ 2 Gegenstand des Unternehmens</w:t>
      </w:r>
    </w:p>
    <w:p>
      <w:r>
        <w:t>(1) Gegenstand des Unternehmens ist die Entwicklung, Herstellung und der Vertrieb von elektronischen Komponenten, Steuergeräten, Sensorsystemen sowie Software für die Automobilindustrie.</w:t>
      </w:r>
    </w:p>
    <w:p>
      <w:r>
        <w:t>(2) Die Gesellschaft ist berechtigt, alle Geschäfte zu betreiben und Maßnahmen zu ergreifen, die geeignet erscheinen, den Gesellschaftszweck zu fördern, einschließlich der Beteiligung an anderen Unternehmen im In- und Ausland.</w:t>
      </w:r>
    </w:p>
    <w:p>
      <w:pPr>
        <w:pStyle w:val="Heading3"/>
      </w:pPr>
      <w:r>
        <w:t>§ 3 Grundkapital</w:t>
      </w:r>
    </w:p>
    <w:p>
      <w:r>
        <w:t>(1) Das Grundkapital der Gesellschaft beträgt 12.000.000 €.</w:t>
      </w:r>
    </w:p>
    <w:p>
      <w:r>
        <w:t>(2) Das Grundkapital ist eingeteilt in 12.000.000 auf den Namen lautende Stückaktien.</w:t>
      </w:r>
    </w:p>
    <w:p>
      <w:r>
        <w:t>(3) Bei einer Kapitalerhöhung kann der Ausgabebetrag und die Art der Einlage vom Vorstand mit Zustimmung des Aufsichtsrats festgesetzt werden.</w:t>
      </w:r>
    </w:p>
    <w:p>
      <w:pPr>
        <w:pStyle w:val="Heading3"/>
      </w:pPr>
      <w:r>
        <w:t>§ 4 Vorstand</w:t>
      </w:r>
    </w:p>
    <w:p>
      <w:r>
        <w:t>(1) Der Vorstand besteht aus mindestens zwei Mitgliedern. Die genaue Anzahl bestimmt der Aufsichtsrat.</w:t>
      </w:r>
    </w:p>
    <w:p>
      <w:r>
        <w:t>(2) Ist nur ein Vorstandsmitglied bestellt, so vertritt es die Gesellschaft allein. Sind mehrere Vorstandsmitglieder bestellt, so wird die Gesellschaft durch zwei Vorstandsmitglieder gemeinsam oder durch ein Vorstandsmitglied in Gemeinschaft mit einem Prokuristen vertreten.</w:t>
      </w:r>
    </w:p>
    <w:p>
      <w:r>
        <w:t>(3) Aktuell bestehender Vorstand: Dr. Petra Hollmann (CEO), Klaus-Peter Zimmermann (COO), Stefan Richter (CFO), Dr. Yuki Tanaka (CTO).</w:t>
      </w:r>
    </w:p>
    <w:p>
      <w:pPr>
        <w:pStyle w:val="Heading3"/>
      </w:pPr>
      <w:r>
        <w:t>§ 5 Aufsichtsrat</w:t>
      </w:r>
    </w:p>
    <w:p>
      <w:r>
        <w:t>(1) Der Aufsichtsrat besteht aus zwölf Mitgliedern, von denen sechs von der Hauptversammlung und sechs von den Arbeitnehmern nach den Vorschriften des Mitbestimmungsgesetzes gewählt werden.</w:t>
      </w:r>
    </w:p>
    <w:p>
      <w:r>
        <w:t>(2) Vorsitzender des Aufsichtsrats: Prof. Dr. Gerhard Voss.</w:t>
      </w:r>
    </w:p>
    <w:p>
      <w:pPr>
        <w:pStyle w:val="Heading3"/>
      </w:pPr>
      <w:r>
        <w:t>§ 6 Hauptversammlung</w:t>
      </w:r>
    </w:p>
    <w:p>
      <w:r>
        <w:t>(1) Die ordentliche Hauptversammlung findet innerhalb der ersten fünf Monate eines jeden Geschäftsjahres statt.</w:t>
      </w:r>
    </w:p>
    <w:p>
      <w:r>
        <w:t>(2) Die Hauptversammlung ist einzuberufen, wenn das Wohl der Gesellschaft es erfordert oder die Einberufung von Aktionären, deren Anteile zusammen 5 % des Grundkapitals erreichen, unter Angabe des Zwecks und der Gründe verlangt wird.</w:t>
      </w:r>
    </w:p>
    <w:p>
      <w:pPr>
        <w:pStyle w:val="Heading3"/>
      </w:pPr>
      <w:r>
        <w:t>§ 7 Jahresabschluss und Gewinnverwendung</w:t>
      </w:r>
    </w:p>
    <w:p>
      <w:r>
        <w:t>(1) Der Vorstand hat innerhalb der gesetzlich vorgeschriebenen Frist den Jahresabschluss und den Lagebericht aufzustellen und dem Aufsichtsrat vorzulegen.</w:t>
      </w:r>
    </w:p>
    <w:p>
      <w:r>
        <w:t>(2) Der Aufsichtsrat hat den Jahresabschluss zu prüfen und der ordentlichen Hauptversammlung darüber zu berichten.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