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ADAS-V4D – Volkswagen AG, Q3/2022</w:t>
      </w:r>
    </w:p>
    <w:p>
      <w:pPr>
        <w:jc w:val="center"/>
      </w:pPr>
      <w:r>
        <w:t>Kundenstatus, Lieferperformance, Projekt-Pipeline und Eskalationen mit Volkswagen Group</w:t>
      </w:r>
    </w:p>
    <w:p/>
    <w:p>
      <w:pPr>
        <w:pStyle w:val="Heading3"/>
      </w:pPr>
      <w:r>
        <w:t>Teilnehmer</w:t>
      </w:r>
    </w:p>
    <w:p>
      <w:r>
        <w:t>Volkswagen AG (Wolfsburg): Einkaufsleitung Komponente, Qualitaetsmanagement-OEM, Programm-Management E-Mobility / Powertrain, ggf. Vertreter Vorserienentwicklung.</w:t>
      </w:r>
    </w:p>
    <w:p>
      <w:r>
        <w:t>Brennhagen Elektronik AG / REG: Stefan Richter (CMO/BD), Key Account Manager VW, Werkleitung REG (Andreas Maier), Qualitaetsleitung (Sabine Brand), ggf. Vertreter R&amp;D / Programm.</w:t>
      </w:r>
    </w:p>
    <w:p>
      <w:pPr>
        <w:pStyle w:val="Heading3"/>
      </w:pPr>
      <w:r>
        <w:t>Berichtszeitraum und Scope</w:t>
      </w:r>
    </w:p>
    <w:p>
      <w:r>
        <w:t>Quartalsbericht Q3/2022 zum Produkt ADAS-V4D. Scope: Liefermengen, Qualitaetsperformance, Reklamationsstatus, Forecast Folgequartale, Pipeline neuer Designwins / RFQ, strategische Themen (z. B. Cyber, Software-OTA, ASPICE, IATF, Carbon Footprint).</w:t>
      </w:r>
    </w:p>
    <w:p>
      <w:pPr>
        <w:pStyle w:val="Heading3"/>
      </w:pPr>
      <w:r>
        <w:t>Operative KPIs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Termintreue Lieferung</w:t>
            </w:r>
          </w:p>
        </w:tc>
        <w:tc>
          <w:tcPr>
            <w:tcW w:type="dxa" w:w="2160"/>
          </w:tcPr>
          <w:p>
            <w:r>
              <w:t>&gt;= 95 %</w:t>
            </w:r>
          </w:p>
        </w:tc>
        <w:tc>
          <w:tcPr>
            <w:tcW w:type="dxa" w:w="2160"/>
          </w:tcPr>
          <w:p>
            <w:r>
              <w:t>97 %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</w:tr>
      <w:tr>
        <w:tc>
          <w:tcPr>
            <w:tcW w:type="dxa" w:w="2160"/>
          </w:tcPr>
          <w:p>
            <w:r>
              <w:t>PPM-Quote</w:t>
            </w:r>
          </w:p>
        </w:tc>
        <w:tc>
          <w:tcPr>
            <w:tcW w:type="dxa" w:w="2160"/>
          </w:tcPr>
          <w:p>
            <w:r>
              <w:t>&lt; 20 ppm</w:t>
            </w:r>
          </w:p>
        </w:tc>
        <w:tc>
          <w:tcPr>
            <w:tcW w:type="dxa" w:w="2160"/>
          </w:tcPr>
          <w:p>
            <w:r>
              <w:t>12 ppm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</w:tr>
      <w:tr>
        <w:tc>
          <w:tcPr>
            <w:tcW w:type="dxa" w:w="2160"/>
          </w:tcPr>
          <w:p>
            <w:r>
              <w:t>8D-Schliesszeit</w:t>
            </w:r>
          </w:p>
        </w:tc>
        <w:tc>
          <w:tcPr>
            <w:tcW w:type="dxa" w:w="2160"/>
          </w:tcPr>
          <w:p>
            <w:r>
              <w:t>&lt; 60 Tage</w:t>
            </w:r>
          </w:p>
        </w:tc>
        <w:tc>
          <w:tcPr>
            <w:tcW w:type="dxa" w:w="2160"/>
          </w:tcPr>
          <w:p>
            <w:r>
              <w:t>47 Tage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</w:tr>
      <w:tr>
        <w:tc>
          <w:tcPr>
            <w:tcW w:type="dxa" w:w="2160"/>
          </w:tcPr>
          <w:p>
            <w:r>
              <w:t>Forecast-Genauigkeit</w:t>
            </w:r>
          </w:p>
        </w:tc>
        <w:tc>
          <w:tcPr>
            <w:tcW w:type="dxa" w:w="2160"/>
          </w:tcPr>
          <w:p>
            <w:r>
              <w:t>&gt;= 90 %</w:t>
            </w:r>
          </w:p>
        </w:tc>
        <w:tc>
          <w:tcPr>
            <w:tcW w:type="dxa" w:w="2160"/>
          </w:tcPr>
          <w:p>
            <w:r>
              <w:t>92 %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</w:tr>
    </w:tbl>
    <w:p>
      <w:pPr>
        <w:pStyle w:val="Heading3"/>
      </w:pPr>
      <w:r>
        <w:t>Schwerpunktthemen / Eskalationen</w:t>
      </w:r>
    </w:p>
    <w:p>
      <w:pPr>
        <w:pStyle w:val="ListBullet"/>
      </w:pPr>
      <w:r>
        <w:t>Programm-Plan Q3 erreicht, Liefermengen im Forecast</w:t>
      </w:r>
    </w:p>
    <w:p>
      <w:pPr>
        <w:pStyle w:val="ListBullet"/>
      </w:pPr>
      <w:r>
        <w:t>Software-Reifegrad ASPICE Level 2 fuer Release 3.4 nachgewiesen</w:t>
      </w:r>
    </w:p>
    <w:p>
      <w:pPr>
        <w:pStyle w:val="ListBullet"/>
      </w:pPr>
      <w:r>
        <w:t>Cybersecurity-Konzept gem. ISO/SAE 21434 wurde mit VW abgestimmt</w:t>
      </w:r>
    </w:p>
    <w:p>
      <w:pPr>
        <w:pStyle w:val="ListBullet"/>
      </w:pPr>
      <w:r>
        <w:t>Validierungsplan ASIL-B Komponenten in Abstimmung mit VW QM</w:t>
      </w:r>
    </w:p>
    <w:p>
      <w:pPr>
        <w:pStyle w:val="ListBullet"/>
      </w:pPr>
      <w:r>
        <w:t>Eskalation: Lieferanten-Engpass Radar-MMIC (Infineon) – Mitigationsplan beschlossen</w:t>
      </w:r>
    </w:p>
    <w:p>
      <w:pPr>
        <w:pStyle w:val="Heading3"/>
      </w:pPr>
      <w:r>
        <w:t>Vereinbarungen / Naechste Schritte</w:t>
      </w:r>
    </w:p>
    <w:p>
      <w:r>
        <w:t>Naechstes QBR turnusmaessig im Folgequartal. Offene Themen werden im OEM-Eskalationsboard nachverfolgt. Aktionen mit Termin und Verantwortlichen sind im QBR-Action-Tracker (Anhang) festgehalten. Eskalationspfad: REG → Stefan Richter → Anna Mueller (CEO REA) / Programm-Direktor VW.</w:t>
      </w:r>
    </w:p>
    <w:p>
      <w:pPr>
        <w:pStyle w:val="Heading3"/>
      </w:pPr>
      <w:r>
        <w:t>Unterzeichnung</w:t>
      </w:r>
    </w:p>
    <w:p>
      <w:r>
        <w:t>Ort, Datum: Wolfsburg, den Q3/2022</w:t>
      </w:r>
    </w:p>
    <w:p>
      <w:r>
        <w:t>_________________________            _________________________</w:t>
        <w:br/>
        <w:t>Stefan Richter                          Programmleitung VW</w:t>
        <w:br/>
        <w:t>CMO/BD REA                          Einkauf / QM</w:t>
        <w:br/>
        <w:t>Brennhagen Elektronik AG                       Volkswagen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