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CC0000"/>
        </w:rPr>
        <w:t>VERTRAULICH – STRENG VERTRAULICH / STRICTLY CONFIDENTIAL</w:t>
      </w:r>
    </w:p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Verrechnungspreisdokumentation – Masterdatei / Master File 2023</w:t>
      </w:r>
    </w:p>
    <w:p>
      <w:pPr>
        <w:jc w:val="center"/>
      </w:pPr>
      <w:r>
        <w:t>Brennhagen-Konzern, OECD Transfer Pricing Guidelines 2022 / § 90 Abs. 3 AO / GAufzV</w:t>
      </w:r>
    </w:p>
    <w:p/>
    <w:p>
      <w:pPr>
        <w:pStyle w:val="Heading3"/>
      </w:pPr>
      <w:r>
        <w:t>Berichtszweck</w:t>
      </w:r>
    </w:p>
    <w:p>
      <w:r>
        <w:t>Diese Masterdatei (»Master File«) dokumentiert die wesentliche Verrechnungspreis-Praxis des Brennhagen-Konzerns fuer das Geschaeftsjahr 2023 entsprechend Aktion 13 des OECD/G20-BEPS-Projekts und § 90 Abs. 3 AO i. V. m. § 4 GAufzV. Sie ergaenzt die landesspezifischen Local Files (DE/PL/CZ/HU/CN) und das Country-by-Country-Reporting (CbCR; Berichtspflicht REA, Konzern uebersteigt 750 Mio. EUR Schwelle nicht; freiwilliges Reporting an Bundeszentralamt fuer Steuern).</w:t>
      </w:r>
    </w:p>
    <w:p>
      <w:pPr>
        <w:pStyle w:val="Heading3"/>
      </w:pPr>
      <w:r>
        <w:t>Konzernstruktur und Geschaeftstaetigkeit</w:t>
      </w:r>
    </w:p>
    <w:p>
      <w:r>
        <w:t>Der Brennhagen-Konzern besteht aus der Konzernobergesellschaft Brennhagen Elektronik AG (Stuttgart, boersennotiert Prime Standard) mit 100%-Beteiligungen ueber die Brennhagen Holding GmbH (RHO) an 6 operativen Tochtergesellschaften: REG (Heilbronn, DE), RSG (Muenchen, DE), RPL (Katowice, PL), RCZ (Brno, CZ), RHU (Gyoer, HU), RCN (Shanghai, CN). Geschaeftstaetigkeit: Entwicklung, Produktion und Vertrieb von Automotive-Elektronik (Infotainment, Batterie-Management, ADAS, Powertrain-ECUs, Matrix-LED). Konzernumsatz 2023: 612 Mio. EUR. Hauptkunden: BMW, VW, Mercedes-Benz, Stellantis, Ford, Continental, ZF, Bosch.</w:t>
      </w:r>
    </w:p>
    <w:p>
      <w:pPr>
        <w:pStyle w:val="Heading3"/>
      </w:pPr>
      <w:r>
        <w:t>Wesentliche Verrechnungspreis-Transaktionen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Transaktionstyp</w:t>
            </w:r>
          </w:p>
        </w:tc>
        <w:tc>
          <w:tcPr>
            <w:tcW w:type="dxa" w:w="2160"/>
          </w:tcPr>
          <w:p>
            <w:r>
              <w:t>Methode</w:t>
            </w:r>
          </w:p>
        </w:tc>
        <w:tc>
          <w:tcPr>
            <w:tcW w:type="dxa" w:w="2160"/>
          </w:tcPr>
          <w:p>
            <w:r>
              <w:t>Volumen (Mio. EUR)</w:t>
            </w:r>
          </w:p>
        </w:tc>
        <w:tc>
          <w:tcPr>
            <w:tcW w:type="dxa" w:w="2160"/>
          </w:tcPr>
          <w:p>
            <w:r>
              <w:t>Begruendung</w:t>
            </w:r>
          </w:p>
        </w:tc>
      </w:tr>
      <w:tr>
        <w:tc>
          <w:tcPr>
            <w:tcW w:type="dxa" w:w="2160"/>
          </w:tcPr>
          <w:p>
            <w:r>
              <w:t>Lieferung Halbzeuge REG → RPL</w:t>
            </w:r>
          </w:p>
        </w:tc>
        <w:tc>
          <w:tcPr>
            <w:tcW w:type="dxa" w:w="2160"/>
          </w:tcPr>
          <w:p>
            <w:r>
              <w:t>TNMM (Wiederverkaufspreis-/Net-Margin)</w:t>
            </w:r>
          </w:p>
        </w:tc>
        <w:tc>
          <w:tcPr>
            <w:tcW w:type="dxa" w:w="2160"/>
          </w:tcPr>
          <w:p>
            <w:r>
              <w:t>62</w:t>
            </w:r>
          </w:p>
        </w:tc>
        <w:tc>
          <w:tcPr>
            <w:tcW w:type="dxa" w:w="2160"/>
          </w:tcPr>
          <w:p>
            <w:r>
              <w:t>Routinefunktion EMS-Produktion</w:t>
            </w:r>
          </w:p>
        </w:tc>
      </w:tr>
      <w:tr>
        <w:tc>
          <w:tcPr>
            <w:tcW w:type="dxa" w:w="2160"/>
          </w:tcPr>
          <w:p>
            <w:r>
              <w:t>Software-Lizenz RSG → REG/RPL</w:t>
            </w:r>
          </w:p>
        </w:tc>
        <w:tc>
          <w:tcPr>
            <w:tcW w:type="dxa" w:w="2160"/>
          </w:tcPr>
          <w:p>
            <w:r>
              <w:t>Cost-Plus 8 %</w:t>
            </w:r>
          </w:p>
        </w:tc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F&amp;E-Funktion mit Eigenforschung</w:t>
            </w:r>
          </w:p>
        </w:tc>
      </w:tr>
      <w:tr>
        <w:tc>
          <w:tcPr>
            <w:tcW w:type="dxa" w:w="2160"/>
          </w:tcPr>
          <w:p>
            <w:r>
              <w:t>Management-Services RHO → Toechter</w:t>
            </w:r>
          </w:p>
        </w:tc>
        <w:tc>
          <w:tcPr>
            <w:tcW w:type="dxa" w:w="2160"/>
          </w:tcPr>
          <w:p>
            <w:r>
              <w:t>Cost-Plus 5 %</w:t>
            </w:r>
          </w:p>
        </w:tc>
        <w:tc>
          <w:tcPr>
            <w:tcW w:type="dxa" w:w="2160"/>
          </w:tcPr>
          <w:p>
            <w:r>
              <w:t>18</w:t>
            </w:r>
          </w:p>
        </w:tc>
        <w:tc>
          <w:tcPr>
            <w:tcW w:type="dxa" w:w="2160"/>
          </w:tcPr>
          <w:p>
            <w:r>
              <w:t>Routine-Dienstleistung Headquarters</w:t>
            </w:r>
          </w:p>
        </w:tc>
      </w:tr>
      <w:tr>
        <w:tc>
          <w:tcPr>
            <w:tcW w:type="dxa" w:w="2160"/>
          </w:tcPr>
          <w:p>
            <w:r>
              <w:t>IC-Darlehen REA → Toechter</w:t>
            </w:r>
          </w:p>
        </w:tc>
        <w:tc>
          <w:tcPr>
            <w:tcW w:type="dxa" w:w="2160"/>
          </w:tcPr>
          <w:p>
            <w:r>
              <w:t>Comparable Uncontrolled Price (CUP)</w:t>
            </w:r>
          </w:p>
        </w:tc>
        <w:tc>
          <w:tcPr>
            <w:tcW w:type="dxa" w:w="2160"/>
          </w:tcPr>
          <w:p>
            <w:r>
              <w:t>85 ausstehend</w:t>
            </w:r>
          </w:p>
        </w:tc>
        <w:tc>
          <w:tcPr>
            <w:tcW w:type="dxa" w:w="2160"/>
          </w:tcPr>
          <w:p>
            <w:r>
              <w:t>Zinssatz EURIBOR+150bp</w:t>
            </w:r>
          </w:p>
        </w:tc>
      </w:tr>
      <w:tr>
        <w:tc>
          <w:tcPr>
            <w:tcW w:type="dxa" w:w="2160"/>
          </w:tcPr>
          <w:p>
            <w:r>
              <w:t>Konzernumlagen (Kostenpooling)</w:t>
            </w:r>
          </w:p>
        </w:tc>
        <w:tc>
          <w:tcPr>
            <w:tcW w:type="dxa" w:w="2160"/>
          </w:tcPr>
          <w:p>
            <w:r>
              <w:t>Pooling-Methode</w:t>
            </w:r>
          </w:p>
        </w:tc>
        <w:tc>
          <w:tcPr>
            <w:tcW w:type="dxa" w:w="2160"/>
          </w:tcPr>
          <w:p>
            <w:r>
              <w:t>4,5</w:t>
            </w:r>
          </w:p>
        </w:tc>
        <w:tc>
          <w:tcPr>
            <w:tcW w:type="dxa" w:w="2160"/>
          </w:tcPr>
          <w:p>
            <w:r>
              <w:t>Indirekte zentrale Funktionen</w:t>
            </w:r>
          </w:p>
        </w:tc>
      </w:tr>
    </w:tbl>
    <w:p>
      <w:pPr>
        <w:pStyle w:val="Heading3"/>
      </w:pPr>
      <w:r>
        <w:t>Funktions- und Risikoanalyse (Auszug)</w:t>
      </w:r>
    </w:p>
    <w:p>
      <w:r>
        <w:t>REA: Strategiefunktion, IP-Eigentuemerin der wesentlichen Patente, traegt Kernrisiken (Marktrisiko, Investitionsrisiko). REG: Vollstaendige Produktionsfunktion mit Routinerisiken, Vertragsfertiger fuer Hauptprodukt-Linien. RPL/RCZ/RHU: Eingeschraenkte Risiken, EMS-Vertragsfertiger im Cost-Plus-Verfahren. RSG: F&amp;E-Dienstleister mit Cost-Plus-Verguetung. RCN: Vertriebsgesellschaft, »Buy-Sell«-Modell mit Margenkontrolle. RHO: Service-Provider Headquarters-Funktionen.</w:t>
      </w:r>
    </w:p>
    <w:p>
      <w:pPr>
        <w:pStyle w:val="Heading3"/>
      </w:pPr>
      <w:r>
        <w:t>Konsistenz und Methodik</w:t>
      </w:r>
    </w:p>
    <w:p>
      <w:r>
        <w:t>Die Methoden- und Margenwahl wurde benchmark-validiert ueber externe Datenbanken (Amadeus / Royaltystat) im Rahmen der jaehrlichen TP-Studie durch KPMG. Margen werden jaehrlich auf Marktangemessenheit ueberprueft. Im Berichtsjahr keine wesentlichen Methodenaenderungen. Vorabverstaendigungsverfahren (APA) mit der polnischen Steuerverwaltung fuer RPL ist seit Juli 2022 in Verhandlung (laufend).</w:t>
      </w:r>
    </w:p>
    <w:p>
      <w:pPr>
        <w:pStyle w:val="Heading3"/>
      </w:pPr>
      <w:r>
        <w:t>Dokumentationssprache und Aufbewahrung</w:t>
      </w:r>
    </w:p>
    <w:p>
      <w:r>
        <w:t>Die Masterdatei wird in Deutsch und Englisch gefuehrt. Aufbewahrungsfrist 10 Jahre gem. § 147 AO. Aktualisierung jaehrlich bis 31.3. des Folgejahres durch Group Tax (Dr. Heike Berger) in Abstimmung mit den lokalen Tax-Verantwortlichen.</w:t>
      </w:r>
    </w:p>
    <w:p>
      <w:pPr>
        <w:pStyle w:val="Heading3"/>
      </w:pPr>
      <w:r>
        <w:t>Freigabe</w:t>
      </w:r>
    </w:p>
    <w:p>
      <w:r>
        <w:t>Ort, Datum: Stuttgart, den 31. Maerz 2024</w:t>
      </w:r>
    </w:p>
    <w:p>
      <w:r>
        <w:t>_________________________            _________________________</w:t>
        <w:br/>
        <w:t>Laura Bauer                          Dr. Heike Berger</w:t>
        <w:br/>
        <w:t>CFO                          Group Tax Director</w:t>
        <w:br/>
        <w:t>Brennhagen Elektronik AG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