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Intercompany-Quartalsbericht RHU – 2019 Q2</w:t>
      </w:r>
    </w:p>
    <w:p>
      <w:pPr>
        <w:jc w:val="center"/>
      </w:pPr>
      <w:r>
        <w:t>Berichterstattung Brennhagen Hungary Kft. an die Konzernmuttergesellschaft (REA / RHO)</w:t>
      </w:r>
    </w:p>
    <w:p/>
    <w:p>
      <w:pPr>
        <w:pStyle w:val="Heading3"/>
      </w:pPr>
      <w:r>
        <w:t>Berichtende Gesellschaft</w:t>
      </w:r>
    </w:p>
    <w:p>
      <w:r>
        <w:t>Brennhagen Hungary Kft. (RHU), Győr (HU), Cg.08-09-029876. Geschaeftsfuehrer/Werkleiter wie im Konzernorganigramm 2023/24 ausgewiesen. Berichtsperiode: Q2 2019.</w:t>
      </w:r>
    </w:p>
    <w:p>
      <w:pPr>
        <w:pStyle w:val="Heading3"/>
      </w:pPr>
      <w:r>
        <w:t>Operative Highlights / Wesentliche Ereignisse</w:t>
      </w:r>
    </w:p>
    <w:p>
      <w:pPr>
        <w:pStyle w:val="ListBullet"/>
      </w:pPr>
      <w:r>
        <w:t>Linienauslastung am Standort Gyoer im Plan</w:t>
      </w:r>
    </w:p>
    <w:p>
      <w:pPr>
        <w:pStyle w:val="ListBullet"/>
      </w:pPr>
      <w:r>
        <w:t>Sensorik-Anlauf BMW-Programm neue Variante erfolgreich</w:t>
      </w:r>
    </w:p>
    <w:p>
      <w:pPr>
        <w:pStyle w:val="ListBullet"/>
      </w:pPr>
      <w:r>
        <w:t>Lokale BR-Wahl im April 2019 ohne Beanstandungen abgeschlossen</w:t>
      </w:r>
    </w:p>
    <w:p>
      <w:pPr>
        <w:pStyle w:val="ListBullet"/>
      </w:pPr>
      <w:r>
        <w:t>Audit der ungarischen Steuerbehoerde (NAV) eroeffnet, voraussichtliche Dauer 12 Monate</w:t>
      </w:r>
    </w:p>
    <w:p>
      <w:pPr>
        <w:pStyle w:val="ListBullet"/>
      </w:pPr>
      <w:r>
        <w:t>Personalbestand erhoeht (Aufbau Linie ADAS-Sensorik); 24 Neueinstellungen im Quartal</w:t>
      </w:r>
    </w:p>
    <w:p>
      <w:pPr>
        <w:pStyle w:val="ListBullet"/>
      </w:pPr>
      <w:r>
        <w:t>Energie- und Umweltkennzahlen im Plan, ISO 50001 Audit im Sept. 2019 vorbereitet</w:t>
      </w:r>
    </w:p>
    <w:p>
      <w:pPr>
        <w:pStyle w:val="Heading3"/>
      </w:pPr>
      <w:r>
        <w:t>Finanzkennzahlen (Auszug, vorlaeufig)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Q2 2019</w:t>
            </w:r>
          </w:p>
        </w:tc>
        <w:tc>
          <w:tcPr>
            <w:tcW w:type="dxa" w:w="2880"/>
          </w:tcPr>
          <w:p>
            <w:r>
              <w:t>Vorjahr 2018 Q2</w:t>
            </w:r>
          </w:p>
        </w:tc>
      </w:tr>
      <w:tr>
        <w:tc>
          <w:tcPr>
            <w:tcW w:type="dxa" w:w="2880"/>
          </w:tcPr>
          <w:p>
            <w:r>
              <w:t>Umsatz (TEUR)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EBITDA (TEUR)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FTE (Stichtag)</w:t>
            </w:r>
          </w:p>
        </w:tc>
        <w:tc>
          <w:tcPr>
            <w:tcW w:type="dxa" w:w="2880"/>
          </w:tcPr>
          <w:p>
            <w:r>
              <w:t>540</w:t>
            </w:r>
          </w:p>
        </w:tc>
        <w:tc>
          <w:tcPr>
            <w:tcW w:type="dxa" w:w="2880"/>
          </w:tcPr>
          <w:p>
            <w:r>
              <w:t>520</w:t>
            </w:r>
          </w:p>
        </w:tc>
      </w:tr>
      <w:tr>
        <w:tc>
          <w:tcPr>
            <w:tcW w:type="dxa" w:w="2880"/>
          </w:tcPr>
          <w:p>
            <w:r>
              <w:t>CAPEX (TEUR)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Personalsituation</w:t>
      </w:r>
    </w:p>
    <w:p>
      <w:r>
        <w:t>Die Personalsituation am Standort Győr ist stabil. Krankenstand im Branchendurchschnitt. Schulungsplaene wurden quartalsweise erfuellt. Keine arbeitsrechtlichen Auseinandersetzungen im Berichtszeitraum, soweit nicht im Schwerpunktteil dieses Berichts ausdruecklich erwaehnt.</w:t>
      </w:r>
    </w:p>
    <w:p>
      <w:pPr>
        <w:pStyle w:val="Heading3"/>
      </w:pPr>
      <w:r>
        <w:t>Compliance und Audit</w:t>
      </w:r>
    </w:p>
    <w:p>
      <w:r>
        <w:t>Keine wesentlichen Compliance-Vorfaelle im Berichtszeitraum. Offene Audit-Findings aus dem Group-Internal-Audit-Plan werden gemaess vereinbarter Roadmap abgearbeitet (Status im Group-Audit-Tool). Lokale gesetzliche Anforderungen werden in der jeweiligen Jurisdiktion eingehalten; regulatorische Aenderungen werden ueber Group Compliance laufend kommuniziert.</w:t>
      </w:r>
    </w:p>
    <w:p>
      <w:pPr>
        <w:pStyle w:val="Heading3"/>
      </w:pPr>
      <w:r>
        <w:t>Ausblick auf das Folgequartal</w:t>
      </w:r>
    </w:p>
    <w:p>
      <w:r>
        <w:t>Operativer Ausblick: Fortfuehrung der laufenden Kundenprojekte und Anlaeufe. Finanzieller Ausblick: Erfuellung des Konzernbudgets 2019 im Plan; aktualisierter Forecast wird im naechsten Quartalsreport vorgelegt. Keine ad-hoc-meldungspflichtigen Sachverhalte aus Sicht der Berichtsperiode.</w:t>
      </w:r>
    </w:p>
    <w:p>
      <w:pPr>
        <w:pStyle w:val="Heading3"/>
      </w:pPr>
      <w:r>
        <w:t>Unterzeichnung</w:t>
      </w:r>
    </w:p>
    <w:p>
      <w:r>
        <w:t>Ort, Datum: Győr, den 15. 2.2019</w:t>
      </w:r>
    </w:p>
    <w:p>
      <w:r>
        <w:t>_________________________            _________________________</w:t>
        <w:br/>
        <w:t>Werkleitung RHU                          Group Controlling</w:t>
        <w:br/>
        <w:t>Werkleiter/in                          Florian Maier</w:t>
        <w:br/>
        <w:t>Brennhagen Hungary Kft.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