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DRAFT – NICHT ZUR WEITERGABE ***</w:t>
      </w:r>
    </w:p>
    <w:p>
      <w:pPr>
        <w:pStyle w:val="Heading1"/>
      </w:pPr>
      <w:r>
        <w:t>Brennhagen Holding GmbH</w:t>
      </w:r>
    </w:p>
    <w:p>
      <w:r>
        <w:rPr>
          <w:sz w:val="18"/>
        </w:rPr>
        <w:t>Vaihinger Straße 120, 70567 Stuttgart  |  HRB 726450, Amtsgericht Stuttgart</w:t>
      </w:r>
    </w:p>
    <w:p>
      <w:r>
        <w:t>────────────────────────────────────────────────────────────────────────────────</w:t>
      </w:r>
    </w:p>
    <w:p>
      <w:pPr>
        <w:pStyle w:val="Heading2"/>
      </w:pPr>
      <w:r>
        <w:t>Service Level Agreement (SLA) – Managementdienstleistungen RHO / RCZ</w:t>
      </w:r>
    </w:p>
    <w:p>
      <w:pPr>
        <w:jc w:val="center"/>
      </w:pPr>
      <w:r>
        <w:t>zwischen Brennhagen Holding GmbH (RHO) und Brennhagen CZ s.r.o. (RCZ), Brno; Vertragsjahr 2023</w:t>
      </w:r>
    </w:p>
    <w:p/>
    <w:p>
      <w:pPr>
        <w:pStyle w:val="Heading3"/>
      </w:pPr>
      <w:r>
        <w:t>Vertragsparteien</w:t>
      </w:r>
    </w:p>
    <w:p>
      <w:r>
        <w:t>Auftraggeberin: Brennhagen CZ s.r.o. (»RCZ«), Brno (CZ), C 87654 KS Brno, vertreten durch die Geschaeftsfuehrung.</w:t>
      </w:r>
    </w:p>
    <w:p>
      <w:r>
        <w:t>Auftragnehmerin: Brennhagen Holding GmbH (»RHO«), Vaihinger Strasse 120, 70567 Stuttgart, HRB 726450 AG Stuttgart, vertreten durch die Geschaeftsfuehrer (Anna Mueller, Laura Bauer).</w:t>
      </w:r>
    </w:p>
    <w:p>
      <w:pPr>
        <w:pStyle w:val="Heading3"/>
      </w:pPr>
      <w:r>
        <w:t>Praeambel</w:t>
      </w:r>
    </w:p>
    <w:p>
      <w:r>
        <w:t>Die Brennhagen Holding GmbH erbringt als Konzernmanagementgesellschaft fuer alle Konzerngesellschaften zentrale Managementdienstleistungen (Group Functions). Dieses SLA regelt Art, Umfang, Qualitaet und Verguetung der von RHO an RCZ im Jahr 2023 erbrachten Leistungen. Die Verrechnung erfolgt nach Kostenaufschlagsmethode (Cost+) gemaess OECD Transfer Pricing Guidelines 2022, Kap. VII, mit Aufschlag 5 % auf direkte und indirekte Kosten zur Vermeidung von Doppelbesteuerung und Erfuellung der Verrechnungspreisdokumentation (siehe REA_Verrechnungspreisdokumentation_Masterdatei_2023).</w:t>
      </w:r>
    </w:p>
    <w:p>
      <w:pPr>
        <w:pStyle w:val="Heading3"/>
      </w:pPr>
      <w:r>
        <w:t>Leistungskatalog (Service Catalogue)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Service-Bereich</w:t>
            </w:r>
          </w:p>
        </w:tc>
        <w:tc>
          <w:tcPr>
            <w:tcW w:type="dxa" w:w="2160"/>
          </w:tcPr>
          <w:p>
            <w:r>
              <w:t>Inhalt</w:t>
            </w:r>
          </w:p>
        </w:tc>
        <w:tc>
          <w:tcPr>
            <w:tcW w:type="dxa" w:w="2160"/>
          </w:tcPr>
          <w:p>
            <w:r>
              <w:t>Frequenz</w:t>
            </w:r>
          </w:p>
        </w:tc>
        <w:tc>
          <w:tcPr>
            <w:tcW w:type="dxa" w:w="2160"/>
          </w:tcPr>
          <w:p>
            <w:r>
              <w:t>Kostenanteil 2023 %</w:t>
            </w:r>
          </w:p>
        </w:tc>
      </w:tr>
      <w:tr>
        <w:tc>
          <w:tcPr>
            <w:tcW w:type="dxa" w:w="2160"/>
          </w:tcPr>
          <w:p>
            <w:r>
              <w:t>Group Finance &amp; Treasury</w:t>
            </w:r>
          </w:p>
        </w:tc>
        <w:tc>
          <w:tcPr>
            <w:tcW w:type="dxa" w:w="2160"/>
          </w:tcPr>
          <w:p>
            <w:r>
              <w:t>Konsolidierung IFRS, Cash-Pooling, Hedging-Strategie</w:t>
            </w:r>
          </w:p>
        </w:tc>
        <w:tc>
          <w:tcPr>
            <w:tcW w:type="dxa" w:w="2160"/>
          </w:tcPr>
          <w:p>
            <w:r>
              <w:t>monatlich</w:t>
            </w:r>
          </w:p>
        </w:tc>
        <w:tc>
          <w:tcPr>
            <w:tcW w:type="dxa" w:w="2160"/>
          </w:tcPr>
          <w:p>
            <w:r>
              <w:t>22</w:t>
            </w:r>
          </w:p>
        </w:tc>
      </w:tr>
      <w:tr>
        <w:tc>
          <w:tcPr>
            <w:tcW w:type="dxa" w:w="2160"/>
          </w:tcPr>
          <w:p>
            <w:r>
              <w:t>Group Tax</w:t>
            </w:r>
          </w:p>
        </w:tc>
        <w:tc>
          <w:tcPr>
            <w:tcW w:type="dxa" w:w="2160"/>
          </w:tcPr>
          <w:p>
            <w:r>
              <w:t>TP-Doku, Steuerplanung, Compliance DAC6/Pillar 2</w:t>
            </w:r>
          </w:p>
        </w:tc>
        <w:tc>
          <w:tcPr>
            <w:tcW w:type="dxa" w:w="2160"/>
          </w:tcPr>
          <w:p>
            <w:r>
              <w:t>quartalsweise</w:t>
            </w:r>
          </w:p>
        </w:tc>
        <w:tc>
          <w:tcPr>
            <w:tcW w:type="dxa" w:w="2160"/>
          </w:tcPr>
          <w:p>
            <w:r>
              <w:t>10</w:t>
            </w:r>
          </w:p>
        </w:tc>
      </w:tr>
      <w:tr>
        <w:tc>
          <w:tcPr>
            <w:tcW w:type="dxa" w:w="2160"/>
          </w:tcPr>
          <w:p>
            <w:r>
              <w:t>Group HR</w:t>
            </w:r>
          </w:p>
        </w:tc>
        <w:tc>
          <w:tcPr>
            <w:tcW w:type="dxa" w:w="2160"/>
          </w:tcPr>
          <w:p>
            <w:r>
              <w:t>Konzern-HR-Policy, Talent Management, C-Level Recruiting</w:t>
            </w:r>
          </w:p>
        </w:tc>
        <w:tc>
          <w:tcPr>
            <w:tcW w:type="dxa" w:w="2160"/>
          </w:tcPr>
          <w:p>
            <w:r>
              <w:t>laufend</w:t>
            </w:r>
          </w:p>
        </w:tc>
        <w:tc>
          <w:tcPr>
            <w:tcW w:type="dxa" w:w="2160"/>
          </w:tcPr>
          <w:p>
            <w:r>
              <w:t>8</w:t>
            </w:r>
          </w:p>
        </w:tc>
      </w:tr>
      <w:tr>
        <w:tc>
          <w:tcPr>
            <w:tcW w:type="dxa" w:w="2160"/>
          </w:tcPr>
          <w:p>
            <w:r>
              <w:t>Group IT</w:t>
            </w:r>
          </w:p>
        </w:tc>
        <w:tc>
          <w:tcPr>
            <w:tcW w:type="dxa" w:w="2160"/>
          </w:tcPr>
          <w:p>
            <w:r>
              <w:t>ERP SAP S/4HANA Betrieb, Cybersecurity, Lizenzen</w:t>
            </w:r>
          </w:p>
        </w:tc>
        <w:tc>
          <w:tcPr>
            <w:tcW w:type="dxa" w:w="2160"/>
          </w:tcPr>
          <w:p>
            <w:r>
              <w:t>laufend</w:t>
            </w:r>
          </w:p>
        </w:tc>
        <w:tc>
          <w:tcPr>
            <w:tcW w:type="dxa" w:w="2160"/>
          </w:tcPr>
          <w:p>
            <w:r>
              <w:t>18</w:t>
            </w:r>
          </w:p>
        </w:tc>
      </w:tr>
      <w:tr>
        <w:tc>
          <w:tcPr>
            <w:tcW w:type="dxa" w:w="2160"/>
          </w:tcPr>
          <w:p>
            <w:r>
              <w:t>Group Legal &amp; Compliance</w:t>
            </w:r>
          </w:p>
        </w:tc>
        <w:tc>
          <w:tcPr>
            <w:tcW w:type="dxa" w:w="2160"/>
          </w:tcPr>
          <w:p>
            <w:r>
              <w:t>Vertragsmuster, Compliance-Audit, Whistleblowing</w:t>
            </w:r>
          </w:p>
        </w:tc>
        <w:tc>
          <w:tcPr>
            <w:tcW w:type="dxa" w:w="2160"/>
          </w:tcPr>
          <w:p>
            <w:r>
              <w:t>laufend</w:t>
            </w:r>
          </w:p>
        </w:tc>
        <w:tc>
          <w:tcPr>
            <w:tcW w:type="dxa" w:w="2160"/>
          </w:tcPr>
          <w:p>
            <w:r>
              <w:t>9</w:t>
            </w:r>
          </w:p>
        </w:tc>
      </w:tr>
      <w:tr>
        <w:tc>
          <w:tcPr>
            <w:tcW w:type="dxa" w:w="2160"/>
          </w:tcPr>
          <w:p>
            <w:r>
              <w:t>Group Audit (CAE)</w:t>
            </w:r>
          </w:p>
        </w:tc>
        <w:tc>
          <w:tcPr>
            <w:tcW w:type="dxa" w:w="2160"/>
          </w:tcPr>
          <w:p>
            <w:r>
              <w:t>Konzernrevision gem. Jahresplan</w:t>
            </w:r>
          </w:p>
        </w:tc>
        <w:tc>
          <w:tcPr>
            <w:tcW w:type="dxa" w:w="2160"/>
          </w:tcPr>
          <w:p>
            <w:r>
              <w:t>Auditzyklus</w:t>
            </w:r>
          </w:p>
        </w:tc>
        <w:tc>
          <w:tcPr>
            <w:tcW w:type="dxa" w:w="2160"/>
          </w:tcPr>
          <w:p>
            <w:r>
              <w:t>7</w:t>
            </w:r>
          </w:p>
        </w:tc>
      </w:tr>
      <w:tr>
        <w:tc>
          <w:tcPr>
            <w:tcW w:type="dxa" w:w="2160"/>
          </w:tcPr>
          <w:p>
            <w:r>
              <w:t>Group Controlling</w:t>
            </w:r>
          </w:p>
        </w:tc>
        <w:tc>
          <w:tcPr>
            <w:tcW w:type="dxa" w:w="2160"/>
          </w:tcPr>
          <w:p>
            <w:r>
              <w:t>Reporting, Budget, Forecast</w:t>
            </w:r>
          </w:p>
        </w:tc>
        <w:tc>
          <w:tcPr>
            <w:tcW w:type="dxa" w:w="2160"/>
          </w:tcPr>
          <w:p>
            <w:r>
              <w:t>monatlich</w:t>
            </w:r>
          </w:p>
        </w:tc>
        <w:tc>
          <w:tcPr>
            <w:tcW w:type="dxa" w:w="2160"/>
          </w:tcPr>
          <w:p>
            <w:r>
              <w:t>12</w:t>
            </w:r>
          </w:p>
        </w:tc>
      </w:tr>
      <w:tr>
        <w:tc>
          <w:tcPr>
            <w:tcW w:type="dxa" w:w="2160"/>
          </w:tcPr>
          <w:p>
            <w:r>
              <w:t>Group Communications &amp; IR</w:t>
            </w:r>
          </w:p>
        </w:tc>
        <w:tc>
          <w:tcPr>
            <w:tcW w:type="dxa" w:w="2160"/>
          </w:tcPr>
          <w:p>
            <w:r>
              <w:t>Investor Relations, Krisenkommunikation</w:t>
            </w:r>
          </w:p>
        </w:tc>
        <w:tc>
          <w:tcPr>
            <w:tcW w:type="dxa" w:w="2160"/>
          </w:tcPr>
          <w:p>
            <w:r>
              <w:t>laufend</w:t>
            </w:r>
          </w:p>
        </w:tc>
        <w:tc>
          <w:tcPr>
            <w:tcW w:type="dxa" w:w="2160"/>
          </w:tcPr>
          <w:p>
            <w:r>
              <w:t>5</w:t>
            </w:r>
          </w:p>
        </w:tc>
      </w:tr>
      <w:tr>
        <w:tc>
          <w:tcPr>
            <w:tcW w:type="dxa" w:w="2160"/>
          </w:tcPr>
          <w:p>
            <w:r>
              <w:t>Group Sustainability</w:t>
            </w:r>
          </w:p>
        </w:tc>
        <w:tc>
          <w:tcPr>
            <w:tcW w:type="dxa" w:w="2160"/>
          </w:tcPr>
          <w:p>
            <w:r>
              <w:t>ESG-Reporting CSRD, Klimastrategie, LkSG</w:t>
            </w:r>
          </w:p>
        </w:tc>
        <w:tc>
          <w:tcPr>
            <w:tcW w:type="dxa" w:w="2160"/>
          </w:tcPr>
          <w:p>
            <w:r>
              <w:t>laufend</w:t>
            </w:r>
          </w:p>
        </w:tc>
        <w:tc>
          <w:tcPr>
            <w:tcW w:type="dxa" w:w="2160"/>
          </w:tcPr>
          <w:p>
            <w:r>
              <w:t>9</w:t>
            </w:r>
          </w:p>
        </w:tc>
      </w:tr>
    </w:tbl>
    <w:p>
      <w:pPr>
        <w:pStyle w:val="Heading3"/>
      </w:pPr>
      <w:r>
        <w:t>Service Level / KPIs</w:t>
      </w:r>
    </w:p>
    <w:p>
      <w:pPr>
        <w:pStyle w:val="ListBullet"/>
      </w:pPr>
      <w:r>
        <w:t>Monatsabschluss-Konsolidierung bis Werktag +7 nach Periodenende (Ziel: 100 % Termintreue)</w:t>
      </w:r>
    </w:p>
    <w:p>
      <w:pPr>
        <w:pStyle w:val="ListBullet"/>
      </w:pPr>
      <w:r>
        <w:t>Quartalsabschluss bis Werktag +15 nach Quartalsende</w:t>
      </w:r>
    </w:p>
    <w:p>
      <w:pPr>
        <w:pStyle w:val="ListBullet"/>
      </w:pPr>
      <w:r>
        <w:t>Verfuegbarkeit ERP-System SAP S/4HANA mindestens 99,5 % (8x5)</w:t>
      </w:r>
    </w:p>
    <w:p>
      <w:pPr>
        <w:pStyle w:val="ListBullet"/>
      </w:pPr>
      <w:r>
        <w:t>Reaktionszeit Group Legal Anfragen: Standard 5 Werktage, dringend 24h</w:t>
      </w:r>
    </w:p>
    <w:p>
      <w:pPr>
        <w:pStyle w:val="ListBullet"/>
      </w:pPr>
      <w:r>
        <w:t>Concurrent Incident Response Group IT: P1 binnen 2h, P2 binnen 8h</w:t>
      </w:r>
    </w:p>
    <w:p>
      <w:pPr>
        <w:pStyle w:val="ListBullet"/>
      </w:pPr>
      <w:r>
        <w:t>Jaehrlicher Service-Review im November mit Geschaeftsfuehrung der Tochter</w:t>
      </w:r>
    </w:p>
    <w:p>
      <w:pPr>
        <w:pStyle w:val="Heading3"/>
      </w:pPr>
      <w:r>
        <w:t>Verguetung</w:t>
      </w:r>
    </w:p>
    <w:p>
      <w:r>
        <w:t>Die jaehrliche Service-Fee 2023 wird auf Basis der tatsaechlichen Kostenbasis der RHO-Funktionen (Personalkosten, Sachkosten, anteilige Mieten, Abschreibungen) ermittelt. Allokation an RCZ erfolgt nach Allokationsschluessel (Umsatz 50 %, FTE 30 %, Headcount Top-Management 20 %). Aufschlag gem. Cost+: 5 %.</w:t>
      </w:r>
    </w:p>
    <w:p>
      <w:r>
        <w:t>Abrechnung quartalsweise per Akontozahlung (Q+30 Tage), Jahresspitzenausgleich nach Pruefung durch KPMG bis 30.6. des Folgejahres. Zahlungsziel 30 Tage netto. Bei Verzug Zinsen gemaess § 288 Abs. 2 BGB.</w:t>
      </w:r>
    </w:p>
    <w:p>
      <w:pPr>
        <w:pStyle w:val="Heading3"/>
      </w:pPr>
      <w:r>
        <w:t>Laufzeit / Kuendigung</w:t>
      </w:r>
    </w:p>
    <w:p>
      <w:r>
        <w:t>Laufzeit: 1.1.2023 bis 31.12.2023, automatische Verlaengerung um 1 Jahr falls nicht mit Frist von 6 Monaten zum Jahresende gekuendigt. Sonderkuendigungsrecht bei Konzernumstrukturierung oder Verlust der 100%-Beteiligung.</w:t>
      </w:r>
    </w:p>
    <w:p>
      <w:pPr>
        <w:pStyle w:val="Heading3"/>
      </w:pPr>
      <w:r>
        <w:t>Sonstige Regelungen</w:t>
      </w:r>
    </w:p>
    <w:p>
      <w:r>
        <w:t>Geheimhaltung: Beide Parteien verpflichten sich zur Geheimhaltung aller im Rahmen des SLA bekanntgewordenen Informationen. Datenschutz: Auftragsverarbeitung gem. Art. 28 DSGVO; AV-Vertrag als Anhang 2. Gerichtsstand: Stuttgart. Anwendbares Recht: deutsches Recht. Aenderungen beduerfen der Schriftform.</w:t>
      </w:r>
    </w:p>
    <w:p>
      <w:pPr>
        <w:pStyle w:val="Heading3"/>
      </w:pPr>
      <w:r>
        <w:t>Unterschriften</w:t>
      </w:r>
    </w:p>
    <w:p>
      <w:r>
        <w:t>Ort, Datum: Stuttgart, den 15. Januar 2023</w:t>
      </w:r>
    </w:p>
    <w:p>
      <w:r>
        <w:t>_________________________            _________________________</w:t>
        <w:br/>
        <w:t>Anna Mueller                          Geschaeftsfuehrung RCZ</w:t>
        <w:br/>
        <w:t>Geschaeftsfuehrerin                          Geschaeftsfuehrung</w:t>
        <w:br/>
        <w:t>Brennhagen Holding GmbH                       Brennhagen CZ s.r.o.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