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 Learned – Projekt PRJ-2024-001</w:t>
      </w:r>
    </w:p>
    <w:p>
      <w:pPr>
        <w:jc w:val="center"/>
      </w:pPr>
      <w:r>
        <w:t>Post-Mortem / Reflexionsbericht zum Produkt ECU-1000 (Concept Study)</w:t>
      </w:r>
    </w:p>
    <w:p/>
    <w:p>
      <w:pPr>
        <w:pStyle w:val="Heading3"/>
      </w:pPr>
      <w:r>
        <w:t>Projektkontext</w:t>
      </w:r>
    </w:p>
    <w:p>
      <w:r>
        <w:t>Projekt: PRJ-2024-001</w:t>
        <w:br/>
        <w:t>Produkt/Plattform: ECU-1000 (Concept Study)</w:t>
        <w:br/>
        <w:t>Projektzeitraum: 2023–2024, Projektphase Concept Study (bis Gate G4)</w:t>
        <w:br/>
        <w:t>Projektleitung: PMO REA in Abstimmung mit Werk REG und R&amp;D RSG</w:t>
        <w:br/>
        <w:t>Gremium: Vorstand REA / Programmleitung.</w:t>
      </w:r>
    </w:p>
    <w:p>
      <w:pPr>
        <w:pStyle w:val="Heading3"/>
      </w:pPr>
      <w:r>
        <w:t>Was lief gut?</w:t>
      </w:r>
    </w:p>
    <w:p>
      <w:pPr>
        <w:pStyle w:val="ListBullet"/>
      </w:pPr>
      <w:r>
        <w:t>Stakeholder-Mapping zu Projektbeginn detailliert; klare RACI-Matrix gefuehrt</w:t>
      </w:r>
    </w:p>
    <w:p>
      <w:pPr>
        <w:pStyle w:val="ListBullet"/>
      </w:pPr>
      <w:r>
        <w:t>Risiken-Register taeglich gepflegt; Trends sichtbar (Burn-down)</w:t>
      </w:r>
    </w:p>
    <w:p>
      <w:pPr>
        <w:pStyle w:val="ListBullet"/>
      </w:pPr>
      <w:r>
        <w:t>Modulare Architektur ermoeglichte parallele Entwicklung HW / SW</w:t>
      </w:r>
    </w:p>
    <w:p>
      <w:pPr>
        <w:pStyle w:val="ListBullet"/>
      </w:pPr>
      <w:r>
        <w:t>Frueh angesetzte OEM-Reviews mit Mercedes / VW</w:t>
      </w:r>
    </w:p>
    <w:p>
      <w:pPr>
        <w:pStyle w:val="ListBullet"/>
      </w:pPr>
      <w:r>
        <w:t>Solides Budget-Controlling, transparente Forecast-Pflege durch das PMO</w:t>
      </w:r>
    </w:p>
    <w:p>
      <w:pPr>
        <w:pStyle w:val="Heading3"/>
      </w:pPr>
      <w:r>
        <w:t>Was lief nicht gut?</w:t>
      </w:r>
    </w:p>
    <w:p>
      <w:pPr>
        <w:pStyle w:val="ListBullet"/>
      </w:pPr>
      <w:r>
        <w:t>Spaete Beruecksichtigung der Cybersecurity-Anforderungen (ISO/SAE 21434)</w:t>
      </w:r>
    </w:p>
    <w:p>
      <w:pPr>
        <w:pStyle w:val="ListBullet"/>
      </w:pPr>
      <w:r>
        <w:t>Unklare Schnittstellen zwischen Hardware- und Software-Team (REG ↔ RSG)</w:t>
      </w:r>
    </w:p>
    <w:p>
      <w:pPr>
        <w:pStyle w:val="ListBullet"/>
      </w:pPr>
      <w:r>
        <w:t>Lieferantenqualifizierung nicht im kritischen Pfad eingeplant</w:t>
      </w:r>
    </w:p>
    <w:p>
      <w:pPr>
        <w:pStyle w:val="ListBullet"/>
      </w:pPr>
      <w:r>
        <w:t>Concept-Phase ueberzog um 8 Wochen; Re-Plan war notwendig</w:t>
      </w:r>
    </w:p>
    <w:p>
      <w:pPr>
        <w:pStyle w:val="ListBullet"/>
      </w:pPr>
      <w:r>
        <w:t>Reviews mit OEM-Kunden zu spaet eskaliert</w:t>
      </w:r>
    </w:p>
    <w:p>
      <w:pPr>
        <w:pStyle w:val="Heading3"/>
      </w:pPr>
      <w:r>
        <w:t>Empfehlungen fuer Folgeprojekte</w:t>
      </w:r>
    </w:p>
    <w:p>
      <w:pPr>
        <w:pStyle w:val="ListBullet"/>
      </w:pPr>
      <w:r>
        <w:t>Cybersecurity-Anforderungen ab Lasten-/Pflichtenheft (Gate G1) parallel aufnehmen</w:t>
      </w:r>
    </w:p>
    <w:p>
      <w:pPr>
        <w:pStyle w:val="ListBullet"/>
      </w:pPr>
      <w:r>
        <w:t>Cross-Funktionale Reviews REG ↔ RSG ab Konzeptphase im Wochenrhythmus</w:t>
      </w:r>
    </w:p>
    <w:p>
      <w:pPr>
        <w:pStyle w:val="ListBullet"/>
      </w:pPr>
      <w:r>
        <w:t>Lieferantenqualifizierung im kritischen Pfad mit Pufferzeit von 4 Wochen</w:t>
      </w:r>
    </w:p>
    <w:p>
      <w:pPr>
        <w:pStyle w:val="ListBullet"/>
      </w:pPr>
      <w:r>
        <w:t>Stakeholder-Management-Plan zu Projektstart abnehmen lassen</w:t>
      </w:r>
    </w:p>
    <w:p>
      <w:pPr>
        <w:pStyle w:val="ListBullet"/>
      </w:pPr>
      <w:r>
        <w:t>Verbindliche Anwesenheitspflicht der OEM-Programmleitung in Gate-Reviews</w:t>
      </w:r>
    </w:p>
    <w:p>
      <w:pPr>
        <w:pStyle w:val="ListBullet"/>
      </w:pPr>
      <w:r>
        <w:t>Risiko-Register quartalsweise im PMO-Board nachhalten</w:t>
      </w:r>
    </w:p>
    <w:p>
      <w:pPr>
        <w:pStyle w:val="Heading3"/>
      </w:pPr>
      <w:r>
        <w:t>Naechste Schritte</w:t>
      </w:r>
    </w:p>
    <w:p>
      <w:r>
        <w:t>Die Lessons Learned werden im Konzern-PM-Handbuch (Rev. 4.3) eingearbeitet und im Programm-Management-Bord (PMB) vorgestellt. Die Erkenntnisse werden gezielt in den Folgeprojekten ECU-1100 Concept Study sowie BMS-13 Concept Study aufgegriffen. Verantwortlich fuer die Integration: PMO Lead REA in Abstimmung mit CTO Dr. Petra Hollmann.</w:t>
      </w:r>
    </w:p>
    <w:p>
      <w:pPr>
        <w:pStyle w:val="Heading3"/>
      </w:pPr>
      <w:r>
        <w:t>Unterzeichnung</w:t>
      </w:r>
    </w:p>
    <w:p>
      <w:r>
        <w:t>Ort, Datum: Stuttgart, den Q1/2024</w:t>
      </w:r>
    </w:p>
    <w:p>
      <w:r>
        <w:t>_________________________            _________________________</w:t>
        <w:br/>
        <w:t>Projektleitung                          Dr. Petra Hollmann</w:t>
        <w:br/>
        <w:t>PMO                          CTO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