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Dienstvertrag Aufsichtsrat – Thomas Reinhardt (MdB)</w:t>
      </w:r>
    </w:p>
    <w:p>
      <w:pPr>
        <w:jc w:val="center"/>
      </w:pPr>
      <w:r>
        <w:t>Bestellung gemaess Hauptversammlungsbeschluss vom 14. Juni 2022</w:t>
      </w:r>
    </w:p>
    <w:p/>
    <w:p>
      <w:pPr>
        <w:pStyle w:val="Heading3"/>
      </w:pPr>
      <w:r>
        <w:t>Vertragsparteien</w:t>
      </w:r>
    </w:p>
    <w:p>
      <w:r>
        <w:t>Brennhagen Elektronik AG, Vaihinger Strasse 120, 70567 Stuttgart, HRB 726451 AG Stuttgart, vertreten durch den Vorstand (»Gesellschaft«), und Thomas Reinhardt (MdB) (»Aufsichtsratsmitglied«). Die Bestellung erfolgt fuer die Amtsperiode bis zum Ende der ordentlichen Hauptversammlung, die ueber die Entlastung fuer das Geschaeftsjahr 2025 beschliesst (Standard 4-Jahres-Periode gemaess § 9 Abs. 2 der Satzung; max. 5 Jahre gemaess AktG).</w:t>
      </w:r>
    </w:p>
    <w:p>
      <w:pPr>
        <w:pStyle w:val="Heading3"/>
      </w:pPr>
      <w:r>
        <w:t>Vertragsregelungen</w:t>
      </w:r>
    </w:p>
    <w:p>
      <w:pPr>
        <w:pStyle w:val="Heading4"/>
      </w:pPr>
      <w:r>
        <w:t>§ 1 Aufgaben</w:t>
      </w:r>
    </w:p>
    <w:p>
      <w:r>
        <w:rPr>
          <w:b/>
        </w:rPr>
        <w:t xml:space="preserve">(1) </w:t>
      </w:r>
      <w:r>
        <w:t>Das Aufsichtsratsmitglied uebt sein Mandat hauptamtlich/ehrenamtlich nach Massgabe des AktG, der Satzung der Brennhagen Elektronik AG und der Geschaeftsordnung des Aufsichtsrats aus.</w:t>
      </w:r>
    </w:p>
    <w:p>
      <w:r>
        <w:rPr>
          <w:b/>
        </w:rPr>
        <w:t xml:space="preserve">(2) </w:t>
      </w:r>
      <w:r>
        <w:t>Mitarbeit in den Ausschuessen: Compliance- und Risikoausschuss; Praesidialausschuss.</w:t>
      </w:r>
    </w:p>
    <w:p>
      <w:r>
        <w:rPr>
          <w:b/>
        </w:rPr>
        <w:t xml:space="preserve">(3) </w:t>
      </w:r>
      <w:r>
        <w:t>Eingebrachte Expertise: Politische Expertise (Mitglied des Deutschen Bundestages 2017-2021, Wirtschaftsausschuss); ehem. Geschaeftsfuehrer mittelstaendisches Industrieunternehmen; Schwerpunkt Public Affairs.</w:t>
      </w:r>
    </w:p>
    <w:p>
      <w:pPr>
        <w:pStyle w:val="Heading4"/>
      </w:pPr>
      <w:r>
        <w:t>§ 2 Vergutung</w:t>
      </w:r>
    </w:p>
    <w:p>
      <w:r>
        <w:rPr>
          <w:b/>
        </w:rPr>
        <w:t xml:space="preserve">(1) </w:t>
      </w:r>
      <w:r>
        <w:t>Die Vergutung betraegt insgesamt 115.000 EUR brutto p. a. (fix), auszahlbar in jeweils gleichen vierteljaehrlichen Tranchen, jeweils zum Quartalsende.</w:t>
      </w:r>
    </w:p>
    <w:p>
      <w:r>
        <w:rPr>
          <w:b/>
        </w:rPr>
        <w:t xml:space="preserve">(2) </w:t>
      </w:r>
      <w:r>
        <w:t>Zusaetzlich Sitzungsgeld: 1.500 EUR pro Plenarsitzung, 1.000 EUR pro Ausschuss-Sitzung. Vorsitzende Ausschuss erhalten 1,5fache Vergutung; AR-Vorsitz erhaelt 3-fache Grundvergutung; stellv. AR-Vorsitz 1,5fache.</w:t>
      </w:r>
    </w:p>
    <w:p>
      <w:r>
        <w:rPr>
          <w:b/>
        </w:rPr>
        <w:t xml:space="preserve">(3) </w:t>
      </w:r>
      <w:r>
        <w:t>Reisekostenerstattung nach den Grundsaetzen der Vorstandsreisekostenordnung (Bahn 1. Klasse, Hotel 4-Sterne, Flug ab 4 Std. Reisedauer).</w:t>
      </w:r>
    </w:p>
    <w:p>
      <w:pPr>
        <w:pStyle w:val="Heading4"/>
      </w:pPr>
      <w:r>
        <w:t>§ 3 D&amp;O / Haftung</w:t>
      </w:r>
    </w:p>
    <w:p>
      <w:r>
        <w:rPr>
          <w:b/>
        </w:rPr>
        <w:t xml:space="preserve">(1) </w:t>
      </w:r>
      <w:r>
        <w:t>Die Gesellschaft unterhaelt eine D&amp;O-Versicherung gemaess § 116 i. V. m. § 93 AktG (Versicherer Allianz Global Corporate &amp; Specialty SE, Versicherungssumme 50 Mio. EUR). Das Aufsichtsratsmitglied ist als versicherte Person eingeschlossen.</w:t>
      </w:r>
    </w:p>
    <w:p>
      <w:r>
        <w:rPr>
          <w:b/>
        </w:rPr>
        <w:t xml:space="preserve">(2) </w:t>
      </w:r>
      <w:r>
        <w:t>Pflicht zur Sorgfalt eines ordentlichen und gewissenhaften Aufsichtsrats; Verschwiegenheit gemaess § 116 i. V. m. § 93 Abs. 1 S. 3 AktG.</w:t>
      </w:r>
    </w:p>
    <w:p>
      <w:pPr>
        <w:pStyle w:val="Heading4"/>
      </w:pPr>
      <w:r>
        <w:t>§ 4 Compliance / Insider</w:t>
      </w:r>
    </w:p>
    <w:p>
      <w:r>
        <w:rPr>
          <w:b/>
        </w:rPr>
        <w:t xml:space="preserve">(1) </w:t>
      </w:r>
      <w:r>
        <w:t>Beachtung der Marktmissbrauchsverordnung (MAR) sowie der Insider-Richtlinie der Gesellschaft. Meldung von Eigengeschaeften (Directors' Dealings) gemaess Art. 19 MAR an BaFin und Gesellschaft.</w:t>
      </w:r>
    </w:p>
    <w:p>
      <w:r>
        <w:rPr>
          <w:b/>
        </w:rPr>
        <w:t xml:space="preserve">(2) </w:t>
      </w:r>
      <w:r>
        <w:t>Schwarz-Periode (Closed Periods) 30 Tage vor Veroeffentlichung Quartals-/Jahresberichte.</w:t>
      </w:r>
    </w:p>
    <w:p>
      <w:pPr>
        <w:pStyle w:val="Heading4"/>
      </w:pPr>
      <w:r>
        <w:t>§ 5 Vertragsdauer / Beendigung</w:t>
      </w:r>
    </w:p>
    <w:p>
      <w:r>
        <w:rPr>
          <w:b/>
        </w:rPr>
        <w:t xml:space="preserve">(1) </w:t>
      </w:r>
      <w:r>
        <w:t>Vertragsdauer kongruent zur Amtsperiode des Aufsichtsratsmitglieds. Verlaengerung nur durch Wiederwahl in der Hauptversammlung.</w:t>
      </w:r>
    </w:p>
    <w:p>
      <w:r>
        <w:rPr>
          <w:b/>
        </w:rPr>
        <w:t xml:space="preserve">(2) </w:t>
      </w:r>
      <w:r>
        <w:t>Eine ordentliche Kuendigung ist ausgeschlossen. Amtsniederlegung jederzeit moeglich, spaetestens drei Monate zum Quartalsende; ausserordentliche Beendigung gemaess AktG.</w:t>
      </w:r>
    </w:p>
    <w:p>
      <w:pPr>
        <w:pStyle w:val="Heading3"/>
      </w:pPr>
      <w:r>
        <w:t>Unterschriften</w:t>
      </w:r>
    </w:p>
    <w:p>
      <w:r>
        <w:t>Ort, Datum: Stuttgart, den 14. Juni 2022</w:t>
      </w:r>
    </w:p>
    <w:p>
      <w:r>
        <w:t>_________________________            _________________________</w:t>
        <w:br/>
        <w:t>Anna Mueller                          Thomas Reinhardt (MdB)</w:t>
        <w:br/>
        <w:t>Vorstandsvorsitzende (CEO) i. V. Gesellschaft                          Aufsichtsratsmitglied</w:t>
        <w:br/>
        <w:t>Brennhagen Elektronik AG                       i. e.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