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Q4 2021</w:t>
      </w:r>
    </w:p>
    <w:p>
      <w:pPr>
        <w:jc w:val="center"/>
      </w:pPr>
      <w:r>
        <w:t>Sitzung am 8. Dezember 2021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Budget 2022 / Mehrjahresplanung 2022-2024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CFO praesentiert Budget 2022 / Mehrjahresplanung 2022-2024: Umsatzwachstum von 595 (2021) auf 740 Mio. EUR (2024), CAGR 7,5 %; EBITDA-Marge stabil 12-13 %. F&amp;E-Anteil steigt von 5,2 % auf 6,5 %. CAPEX 2022 geplant 48 Mio. EUR (Halbleiter-Pruefstaende, BMS-Linie Heilbronn, ADAS-Testinfrastruktur Muenchen).</w:t>
      </w:r>
    </w:p>
    <w:p>
      <w:pPr>
        <w:pStyle w:val="Heading3"/>
      </w:pPr>
      <w:r>
        <w:t>Beschluesse / Aktionspunkte</w:t>
      </w:r>
    </w:p>
    <w:p>
      <w:r>
        <w:t>Aufsichtsrat genehmigt das Budget 2022 sowie die Mehrjahresplanung 2022-2024 in der vorgelegten Fassung. Dividendenvorschlag 2021 (Beschluss zur HV 2022): 1,40 EUR/Aktie (Vorjahr 1,20 EUR; entspricht Ausschuettungsquote 35 %). Vorstand wird beauftragt, Q1/2022 eine Lieferanten-Risk-Map Halbleiter vorzulegen.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8. Dezember 2021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