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Q1 2022</w:t>
      </w:r>
    </w:p>
    <w:p>
      <w:pPr>
        <w:jc w:val="center"/>
      </w:pPr>
      <w:r>
        <w:t>Sitzung am 22. Februar 2022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Ukraine-Krieg: Lieferketten- und Sanktionsfolgen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CEO informiert ueber Auswirkungen des Russland-Ukraine-Krieges: keine direkten Lieferantenbeziehungen Russland/Belarus; indirekte Lieferketten (Cobalt, Magnesium, Neon-Gas fuer Lithografie) bedingt belastet. Sanktionspruefungen verstaerkt. Werk Polen Katowice meldet keine Stoerung; Mitarbeitende solidarisch mit Ukraine, freiwillige Hilfe organisiert.</w:t>
      </w:r>
    </w:p>
    <w:p>
      <w:pPr>
        <w:pStyle w:val="Heading3"/>
      </w:pPr>
      <w:r>
        <w:t>Beschluesse / Aktionspunkte</w:t>
      </w:r>
    </w:p>
    <w:p>
      <w:r>
        <w:t>Aufsichtsrat nimmt den Sanktionsbericht zur Kenntnis. Beauftragt Vorstand: monatlicher Update an Pruefungsausschuss zu Lieferkette und Sanktions-Compliance. Genehmigung 'Solidaritaetsfonds Ukraine' in Hoehe von 500 TEUR (humanitaere Hilfe). Beschluss-Nr. AR-2022-Q1-08.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22. Februar 2022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