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Q3 2022</w:t>
      </w:r>
    </w:p>
    <w:p>
      <w:pPr>
        <w:jc w:val="center"/>
      </w:pPr>
      <w:r>
        <w:t>Sitzung am 22. September 2022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Finale IPO-Vorbereitung; TOP 6.2 Compliance-Audit Hauptzollamt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Halbjahres-Performance positiv: Umsatz 305 Mio. EUR (+11 % YoY), EBITDA 39,5 Mio. EUR (Marge 13,0 %). IPO-Roadshow startet 26. September 2022; Treffen mit ueber 80 institutionellen Investoren (DACH/UK/US) geplant. Compliance-Audit Hauptzollamt (AEO) ohne Beanstandung abgeschlossen.</w:t>
      </w:r>
    </w:p>
    <w:p>
      <w:pPr>
        <w:pStyle w:val="Heading3"/>
      </w:pPr>
      <w:r>
        <w:t>Beschluesse / Aktionspunkte</w:t>
      </w:r>
    </w:p>
    <w:p>
      <w:r>
        <w:t>Aufsichtsrat bestaetigt den finalen IPO-Plan inkl. Bookbuilding-Range 22,00-26,00 EUR/Aktie (Marktkapitalisierung 1,90-2,25 Mrd. EUR). Volumen 25 % Streubesitz (15 Mio. neue Aktien + 10 Mio. Sekundaer-Anteile). Verwendung Emissionserloes: F&amp;E-Investitionen, Internationalisierung China-Werk, Schuldenrueckfuehrung.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22. September 2022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