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Q4 2022</w:t>
      </w:r>
    </w:p>
    <w:p>
      <w:pPr>
        <w:jc w:val="center"/>
      </w:pPr>
      <w:r>
        <w:t>Sitzung am 14. Dezember 2022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IPO Rueckblick; TOP 6.2 Budget 2023 / Mehrjahresplanung 2023-2025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IPO am 14. Oktober 2022 erfolgreich abgeschlossen: Emissionskurs 24,50 EUR (Mittelfeld der Range), Erstnotierung +8 %, aktuelle Marktkapitalisierung 2,15 Mrd. EUR. Erloes 612 Mio. EUR; davon Schuldenrueckfuehrung 180 Mio. EUR; F&amp;E-/CAPEX-Programm 280 Mio. EUR; Investitionsreserve 152 Mio. EUR. Budget 2023 sieht Umsatz 650 Mio. EUR vor (+9 %), EBITDA-Marge 13,5 %.</w:t>
      </w:r>
    </w:p>
    <w:p>
      <w:pPr>
        <w:pStyle w:val="Heading3"/>
      </w:pPr>
      <w:r>
        <w:t>Beschluesse / Aktionspunkte</w:t>
      </w:r>
    </w:p>
    <w:p>
      <w:r>
        <w:t>Aufsichtsrat genehmigt das Budget 2023 und die Mehrjahresplanung 2023-2025. Genehmigt zudem Investitionspakete (a) Werk Heilbronn BMS-12 Produktionslinie 28 Mio. EUR; (b) Werk Shanghai Ausbau 18 Mio. EUR; (c) ADAS-Testzentrum Muenchen 12 Mio. EUR.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14. Dezember 2022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