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Q4 2023</w:t>
      </w:r>
    </w:p>
    <w:p>
      <w:pPr>
        <w:jc w:val="center"/>
      </w:pPr>
      <w:r>
        <w:t>Sitzung am 8. Dezember 2023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Budget 2024 / Mehrjahresplanung 2024-2026; TOP 6.2 Personalauswahl Vorstand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CFO praesentiert Budget 2024 (Umsatz 700 Mio. EUR +14 %, EBITDA 95 Mio. EUR Marge 13,6 %) und Mehrjahresplanung 2024-2026 (CAGR 11 %, EBITDA-Marge 14 % bis 2026). CEO informiert ueber Wechsel im Vorstand: Stefan Hoffmann (CTO) wechselt zum 30. Juni 2024 zu einem Wettbewerber; Nachfolger:in wird gesucht (Suche extern, Headhunter Egon Zehnder).</w:t>
      </w:r>
    </w:p>
    <w:p>
      <w:pPr>
        <w:pStyle w:val="Heading3"/>
      </w:pPr>
      <w:r>
        <w:t>Beschluesse / Aktionspunkte</w:t>
      </w:r>
    </w:p>
    <w:p>
      <w:r>
        <w:t>Aufsichtsrat genehmigt Budget 2024 und Mehrjahresplanung 2024-2026. Bezueglich CTO-Nachfolge wird der Praesidialausschuss (Vorsitz Steinbrueck) mit der Auswahl beauftragt; Zielsetzung Besetzung bis 30. April 2024. Genehmigt die ESOP-Anpassung 2024 (zusaetzliche Vesting-Tranche fuer Vorstand).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8. Dezember 2023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