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Meldung Eigengeschaefte von Fuehrungskraeften (Directors' Dealings) – Stefan Richter</w:t>
      </w:r>
    </w:p>
    <w:p>
      <w:pPr>
        <w:jc w:val="center"/>
      </w:pPr>
      <w:r>
        <w:t>Mitteilung gem. Art. 19 MAR (Marktmissbrauchsverordnung)</w:t>
      </w:r>
    </w:p>
    <w:p/>
    <w:p>
      <w:pPr>
        <w:pStyle w:val="Heading3"/>
      </w:pPr>
      <w:r>
        <w:t>Meldepflichtige Person</w:t>
      </w:r>
    </w:p>
    <w:p>
      <w:r>
        <w:t>Name: Stefan Richter</w:t>
        <w:br/>
        <w:t>Funktion: Vorstandsmitglied (CMO / BD seit 1.4.2023)</w:t>
        <w:br/>
        <w:t>Unternehmen: Brennhagen Elektronik AG</w:t>
        <w:br/>
        <w:t>Eingestuft als Person mit Fuehrungsaufgaben (Person Discharging Managerial Responsibilities, PDMR) gem. Art. 3 Abs. 1 Nr. 25 MAR und in der internen PDMR-Liste gefuehrt.</w:t>
      </w:r>
    </w:p>
    <w:p>
      <w:pPr>
        <w:pStyle w:val="Heading3"/>
      </w:pPr>
      <w:r>
        <w:t>Angaben zum Emittenten / Finanzinstrument</w:t>
      </w:r>
    </w:p>
    <w:p>
      <w:r>
        <w:t>Emittent: Brennhagen Elektronik AG, Vaihinger Strasse 120, 70567 Stuttgart</w:t>
        <w:br/>
        <w:t>LEI: 529900RHGRPMOCKLEI42</w:t>
        <w:br/>
        <w:t>Finanzinstrument: Stammaktien</w:t>
        <w:br/>
        <w:t>ISIN: DE000RHGRP12  /  WKN: RHGRP1</w:t>
        <w:br/>
        <w:t>Handelsplatz: Frankfurter Wertpapierbörse (Prime Standard) / XETRA</w:t>
      </w:r>
    </w:p>
    <w:p>
      <w:pPr>
        <w:pStyle w:val="Heading3"/>
      </w:pPr>
      <w:r>
        <w:t>Einzelheiten der Geschaefte</w:t>
      </w:r>
    </w:p>
    <w:p>
      <w:r>
        <w:t>Erwerb von 1.200 Stammaktien der Brennhagen Elektronik AG (ISIN DE000RHGRP12) am 18. Mai 2023 zum Durchschnittskurs von 26,40 EUR ueber XETRA. Gesamtvolumen 31.680 EUR. Sowie weiterer Erwerb von 800 Stammaktien am 22. September 2023 zum Durchschnittskurs von 27,10 EUR (Volumen 21.680 EUR). Beide Transaktionen erfolgten auf eigene Rechnung im Rahmen der Mindestbeteiligungspolicy. Kumuliertes Volumen 2023: 53.360 EUR (oberhalb der 5.000-EUR-Schwelle).</w:t>
      </w:r>
    </w:p>
    <w:p>
      <w:pPr>
        <w:pStyle w:val="Heading3"/>
      </w:pPr>
      <w:r>
        <w:t>Veroeffentlichung</w:t>
      </w:r>
    </w:p>
    <w:p>
      <w:r>
        <w:t>Diese Meldung erfolgt fristgerecht binnen drei Geschaeftstagen nach dem Geschaeft an die BaFin (über das BaFin-Meldeportal MVP) und die Brennhagen Elektronik AG. Die Veroeffentlichung ueber europaweit verbreitende Medien (Dienstleister: EQS Group) ist innerhalb derselben Frist erfolgt; auf der IR-Website (www.brennhagen-ag.de/ir) wird die Meldung mindestens 5 Jahre vorgehalten.</w:t>
      </w:r>
    </w:p>
    <w:p>
      <w:pPr>
        <w:pStyle w:val="Heading3"/>
      </w:pPr>
      <w:r>
        <w:t>Schwellenwertbetrachtung</w:t>
      </w:r>
    </w:p>
    <w:p>
      <w:r>
        <w:t>Geprueft wurde, ob die Schwelle gem. Art. 19 Abs. 8 MAR (5.000 EUR pro Kalenderjahr, kumuliert) erreicht wurde. Bei Ueberschreitung wird die Meldung – unabhaengig von der Einzeltransaktion – veroeffentlicht. Dokumentation der Schwellenwertberechnung erfolgt durch Investor Relations / Group Legal (Aktenfuehrung im Insider-Verzeichnis und PDMR-Register).</w:t>
      </w:r>
    </w:p>
    <w:p>
      <w:pPr>
        <w:pStyle w:val="Heading3"/>
      </w:pPr>
      <w:r>
        <w:t>Hinweis Closed Period</w:t>
      </w:r>
    </w:p>
    <w:p>
      <w:r>
        <w:t>Vor der Veroeffentlichung von Quartals- und Jahresergebnissen gilt die Closed-Period-Regel (30 Kalendertage) gem. Art. 19 Abs. 11 MAR. Die hier gemeldeten Transaktionen liegen ausserhalb dieses Zeitraums.</w:t>
      </w:r>
    </w:p>
    <w:p>
      <w:pPr>
        <w:pStyle w:val="Heading3"/>
      </w:pPr>
      <w:r>
        <w:t>Unterschrift / Bestaetigung</w:t>
      </w:r>
    </w:p>
    <w:p>
      <w:r>
        <w:t>Ort, Datum: Stuttgart, den 2023</w:t>
      </w:r>
    </w:p>
    <w:p>
      <w:r>
        <w:t>_________________________            _________________________</w:t>
        <w:br/>
        <w:t>Stefan Richter                          Investor Relations</w:t>
        <w:br/>
        <w:t>Vorstandsmitglied (CMO / BD seit 1.4.2023)                          IR Officer</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