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FRAND-Erklaerung – Standardessenzielle Patente 2023</w:t>
      </w:r>
    </w:p>
    <w:p>
      <w:pPr>
        <w:jc w:val="center"/>
      </w:pPr>
      <w:r>
        <w:t>Erklaerung zur Lizenzbereitschaft nach FRAND-Grundsaetzen (Fair, Reasonable, Non-Discriminatory)</w:t>
      </w:r>
    </w:p>
    <w:p/>
    <w:p>
      <w:pPr>
        <w:pStyle w:val="Heading3"/>
      </w:pPr>
      <w:r>
        <w:t>Hintergrund</w:t>
      </w:r>
    </w:p>
    <w:p>
      <w:r>
        <w:t>Die Brennhagen Elektronik AG haelt eine Reihe von Patenten, die im Rahmen der Standardisierungsverfahren (insbesondere ISO 11898 CAN-FD, AUTOSAR Adaptive Platform, IEEE 802.3bw 100BASE-T1, DoIP Diagnose-over-IP, ISO 26262 Funktionale Sicherheit) als »standardessenziell« (SEP, Standard-Essential Patent) deklariert sind.</w:t>
      </w:r>
    </w:p>
    <w:p>
      <w:pPr>
        <w:pStyle w:val="Heading3"/>
      </w:pPr>
      <w:r>
        <w:t>Erklaerung</w:t>
      </w:r>
    </w:p>
    <w:p>
      <w:r>
        <w:t>Die Brennhagen Elektronik AG erklaert hiermit gemaess Art. 102 AEUV und der einschlaegigen Rechtsprechung des EuGH (Huawei/ZTE-Entscheidung), dass sie ihre standardessenziellen Patente zu fairen, angemessenen und nicht diskriminierenden (FRAND) Bedingungen lizensiert. Diese Erklaerung ergeht im Rahmen der Verpflichtungen gegenueber den Standardisierungs-Organisationen (SDO) ISO, IEEE und ETSI.</w:t>
      </w:r>
    </w:p>
    <w:p>
      <w:pPr>
        <w:pStyle w:val="Heading3"/>
      </w:pPr>
      <w:r>
        <w:t>SEP-Portfolio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Patente / Schutzrechte (Stueck)</w:t>
            </w:r>
          </w:p>
        </w:tc>
        <w:tc>
          <w:tcPr>
            <w:tcW w:type="dxa" w:w="2160"/>
          </w:tcPr>
          <w:p>
            <w:r>
              <w:t>Jurisdiktion</w:t>
            </w:r>
          </w:p>
        </w:tc>
        <w:tc>
          <w:tcPr>
            <w:tcW w:type="dxa" w:w="2160"/>
          </w:tcPr>
          <w:p>
            <w:r>
              <w:t>Lizenzfeld</w:t>
            </w:r>
          </w:p>
        </w:tc>
      </w:tr>
      <w:tr>
        <w:tc>
          <w:tcPr>
            <w:tcW w:type="dxa" w:w="2160"/>
          </w:tcPr>
          <w:p>
            <w:r>
              <w:t>ISO 11898 CAN-FD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EP, US, CN, JP</w:t>
            </w:r>
          </w:p>
        </w:tc>
        <w:tc>
          <w:tcPr>
            <w:tcW w:type="dxa" w:w="2160"/>
          </w:tcPr>
          <w:p>
            <w:r>
              <w:t>Steuergeraete OEM</w:t>
            </w:r>
          </w:p>
        </w:tc>
      </w:tr>
      <w:tr>
        <w:tc>
          <w:tcPr>
            <w:tcW w:type="dxa" w:w="2160"/>
          </w:tcPr>
          <w:p>
            <w:r>
              <w:t>AUTOSAR Adaptive Platform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EP, US</w:t>
            </w:r>
          </w:p>
        </w:tc>
        <w:tc>
          <w:tcPr>
            <w:tcW w:type="dxa" w:w="2160"/>
          </w:tcPr>
          <w:p>
            <w:r>
              <w:t>Software-Plattform</w:t>
            </w:r>
          </w:p>
        </w:tc>
      </w:tr>
      <w:tr>
        <w:tc>
          <w:tcPr>
            <w:tcW w:type="dxa" w:w="2160"/>
          </w:tcPr>
          <w:p>
            <w:r>
              <w:t>IEEE 802.3bw 100BASE-T1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EP, US, CN</w:t>
            </w:r>
          </w:p>
        </w:tc>
        <w:tc>
          <w:tcPr>
            <w:tcW w:type="dxa" w:w="2160"/>
          </w:tcPr>
          <w:p>
            <w:r>
              <w:t>Automotive Ethernet</w:t>
            </w:r>
          </w:p>
        </w:tc>
      </w:tr>
      <w:tr>
        <w:tc>
          <w:tcPr>
            <w:tcW w:type="dxa" w:w="2160"/>
          </w:tcPr>
          <w:p>
            <w:r>
              <w:t>DoIP Diagnose-over-IP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EP, US</w:t>
            </w:r>
          </w:p>
        </w:tc>
        <w:tc>
          <w:tcPr>
            <w:tcW w:type="dxa" w:w="2160"/>
          </w:tcPr>
          <w:p>
            <w:r>
              <w:t>Diagnose / OBD</w:t>
            </w:r>
          </w:p>
        </w:tc>
      </w:tr>
      <w:tr>
        <w:tc>
          <w:tcPr>
            <w:tcW w:type="dxa" w:w="2160"/>
          </w:tcPr>
          <w:p>
            <w:r>
              <w:t>ISO 26262 Funktionale Sicherheit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EP, US, JP</w:t>
            </w:r>
          </w:p>
        </w:tc>
        <w:tc>
          <w:tcPr>
            <w:tcW w:type="dxa" w:w="2160"/>
          </w:tcPr>
          <w:p>
            <w:r>
              <w:t>Safety-Architekturen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Lizenzkonditionen</w:t>
      </w:r>
    </w:p>
    <w:p>
      <w:r>
        <w:t>Lizenzkonditionen werden im Einzelfall fair und transparent verhandelt. Lizenzanalogie / Royalty-Stack-Vergleich erfolgt auf Basis von Industriestandards. Beispielroyalty CAN-FD: 0,12-0,18 EUR pro Geraet (gemaess Vergleich mit Bosch / NXP). FRAND-Beratung durch Hengeler Mueller (Patentlizenzierung) sowie unabhaengiger Patentanwaltskanzlei Maiwald.</w:t>
      </w:r>
    </w:p>
    <w:p>
      <w:pPr>
        <w:pStyle w:val="Heading3"/>
      </w:pPr>
      <w:r>
        <w:t>Streitfaelle</w:t>
      </w:r>
    </w:p>
    <w:p>
      <w:r>
        <w:t>Aktuell keine laufenden FRAND-Streitfaelle. Eine Pruefung der eigenen Lizenzpraxis durch externe Berater (Hengeler Mueller, Berlin) erfolgt jaehrlich; letzte Pruefung 14. November 2023, ohne Beanstandungen.</w:t>
      </w:r>
    </w:p>
    <w:p>
      <w:pPr>
        <w:pStyle w:val="Heading3"/>
      </w:pPr>
      <w:r>
        <w:t>Unterschriften</w:t>
      </w:r>
    </w:p>
    <w:p>
      <w:r>
        <w:t>Ort, Datum: Stuttgart, den 14. Dezember 2023</w:t>
      </w:r>
    </w:p>
    <w:p>
      <w:r>
        <w:t>_________________________            _________________________</w:t>
        <w:br/>
        <w:t>Stefan Hoffmann                          Laura Bauer</w:t>
        <w:br/>
        <w:t>CTO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