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Interne-Revision-Bericht HR-Prozesse 2023</w:t>
      </w:r>
    </w:p>
    <w:p>
      <w:pPr>
        <w:jc w:val="center"/>
      </w:pPr>
      <w:r>
        <w:t>Pruefbericht der Internal Audit Funktion (Lead: Andreas Buehler, Chief Audit Executive)</w:t>
      </w:r>
    </w:p>
    <w:p/>
    <w:p>
      <w:pPr>
        <w:pStyle w:val="Heading3"/>
      </w:pPr>
      <w:r>
        <w:t>Pruefungsauftrag</w:t>
      </w:r>
    </w:p>
    <w:p>
      <w:r>
        <w:t>Pruefung der HR-Prozesse der Brennhagen Elektronik AG (Konzernperspektive sowie Stichprobenpruefung in den Werken Heilbronn (REG) und Muenchen (RSG)). Pruefzeitraum 1. Januar bis 31. Dezember 2023. Pruefungsmandat ausgesprochen durch den Pruefungsausschuss am 14. Februar 2023; Berichts-Empfaenger Vorstand und Pruefungsausschuss.</w:t>
      </w:r>
    </w:p>
    <w:p>
      <w:pPr>
        <w:pStyle w:val="Heading3"/>
      </w:pPr>
      <w:r>
        <w:t>Pruefumfang</w:t>
      </w:r>
    </w:p>
    <w:p>
      <w:pPr>
        <w:pStyle w:val="ListBullet"/>
      </w:pPr>
      <w:r>
        <w:t>Rekrutierungsprozesse (Stellenausschreibung, Auswahl, Anstellung)</w:t>
      </w:r>
    </w:p>
    <w:p>
      <w:pPr>
        <w:pStyle w:val="ListBullet"/>
      </w:pPr>
      <w:r>
        <w:t>Vergutungs- und Tantieme-Prozesse (Festgehalt, STI, LTI)</w:t>
      </w:r>
    </w:p>
    <w:p>
      <w:pPr>
        <w:pStyle w:val="ListBullet"/>
      </w:pPr>
      <w:r>
        <w:t>Mitbestimmungsprozesse (Betriebsrat / Konzernbetriebsrat)</w:t>
      </w:r>
    </w:p>
    <w:p>
      <w:pPr>
        <w:pStyle w:val="ListBullet"/>
      </w:pPr>
      <w:r>
        <w:t>Datenschutz HR-Daten (Sage HR, SuccessFactors)</w:t>
      </w:r>
    </w:p>
    <w:p>
      <w:pPr>
        <w:pStyle w:val="ListBullet"/>
      </w:pPr>
      <w:r>
        <w:t>Reisekosten- und Bewirtungsabrechnungen (Stichprobe 5 %)</w:t>
      </w:r>
    </w:p>
    <w:p>
      <w:pPr>
        <w:pStyle w:val="ListBullet"/>
      </w:pPr>
      <w:r>
        <w:t>Mitarbeiteraustritte (Aufhebungsvertraege, Outplacement)</w:t>
      </w:r>
    </w:p>
    <w:p>
      <w:pPr>
        <w:pStyle w:val="ListBullet"/>
      </w:pPr>
      <w:r>
        <w:t>Diversity / Equal-Pay-Reporting</w:t>
      </w:r>
    </w:p>
    <w:p>
      <w:pPr>
        <w:pStyle w:val="Heading3"/>
      </w:pPr>
      <w:r>
        <w:t>Wesentliche Pruefungs-Findings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Finding</w:t>
            </w:r>
          </w:p>
        </w:tc>
        <w:tc>
          <w:tcPr>
            <w:tcW w:type="dxa" w:w="2160"/>
          </w:tcPr>
          <w:p>
            <w:r>
              <w:t>Schwere</w:t>
            </w:r>
          </w:p>
        </w:tc>
        <w:tc>
          <w:tcPr>
            <w:tcW w:type="dxa" w:w="2160"/>
          </w:tcPr>
          <w:p>
            <w:r>
              <w:t>Empfehlung</w:t>
            </w:r>
          </w:p>
        </w:tc>
      </w:tr>
      <w:tr>
        <w:tc>
          <w:tcPr>
            <w:tcW w:type="dxa" w:w="2160"/>
          </w:tcPr>
          <w:p>
            <w:r>
              <w:t>1</w:t>
            </w:r>
          </w:p>
        </w:tc>
        <w:tc>
          <w:tcPr>
            <w:tcW w:type="dxa" w:w="2160"/>
          </w:tcPr>
          <w:p>
            <w:r>
              <w:t>Stichprobenmaessige Inkonsistenz bei Tantieme-Berechnung (3 Faelle, Werk Heilbronn)</w:t>
            </w:r>
          </w:p>
        </w:tc>
        <w:tc>
          <w:tcPr>
            <w:tcW w:type="dxa" w:w="2160"/>
          </w:tcPr>
          <w:p>
            <w:r>
              <w:t>Mittel</w:t>
            </w:r>
          </w:p>
        </w:tc>
        <w:tc>
          <w:tcPr>
            <w:tcW w:type="dxa" w:w="2160"/>
          </w:tcPr>
          <w:p>
            <w:r>
              <w:t>Re-Calibrierung Berechnungstool Q1/2024</w:t>
            </w:r>
          </w:p>
        </w:tc>
      </w:tr>
      <w:tr>
        <w:tc>
          <w:tcPr>
            <w:tcW w:type="dxa" w:w="2160"/>
          </w:tcPr>
          <w:p>
            <w:r>
              <w:t>2</w:t>
            </w:r>
          </w:p>
        </w:tc>
        <w:tc>
          <w:tcPr>
            <w:tcW w:type="dxa" w:w="2160"/>
          </w:tcPr>
          <w:p>
            <w:r>
              <w:t>AVV-Vertraege mit Recruiting-Dienstleister Hays nicht vollstaendig (1 Standort)</w:t>
            </w:r>
          </w:p>
        </w:tc>
        <w:tc>
          <w:tcPr>
            <w:tcW w:type="dxa" w:w="2160"/>
          </w:tcPr>
          <w:p>
            <w:r>
              <w:t>Mittel</w:t>
            </w:r>
          </w:p>
        </w:tc>
        <w:tc>
          <w:tcPr>
            <w:tcW w:type="dxa" w:w="2160"/>
          </w:tcPr>
          <w:p>
            <w:r>
              <w:t>Vervollstaendigung binnen 30 Tagen</w:t>
            </w:r>
          </w:p>
        </w:tc>
      </w:tr>
      <w:tr>
        <w:tc>
          <w:tcPr>
            <w:tcW w:type="dxa" w:w="2160"/>
          </w:tcPr>
          <w:p>
            <w:r>
              <w:t>3</w:t>
            </w:r>
          </w:p>
        </w:tc>
        <w:tc>
          <w:tcPr>
            <w:tcW w:type="dxa" w:w="2160"/>
          </w:tcPr>
          <w:p>
            <w:r>
              <w:t>Reisekostenabrechnung: 4 Faelle (von 80) mit fehlenden Belegen</w:t>
            </w:r>
          </w:p>
        </w:tc>
        <w:tc>
          <w:tcPr>
            <w:tcW w:type="dxa" w:w="2160"/>
          </w:tcPr>
          <w:p>
            <w:r>
              <w:t>Niedrig</w:t>
            </w:r>
          </w:p>
        </w:tc>
        <w:tc>
          <w:tcPr>
            <w:tcW w:type="dxa" w:w="2160"/>
          </w:tcPr>
          <w:p>
            <w:r>
              <w:t>Schulung erweitert; pauschale Rueckforderung 1.840 EUR</w:t>
            </w:r>
          </w:p>
        </w:tc>
      </w:tr>
      <w:tr>
        <w:tc>
          <w:tcPr>
            <w:tcW w:type="dxa" w:w="2160"/>
          </w:tcPr>
          <w:p>
            <w:r>
              <w:t>4</w:t>
            </w:r>
          </w:p>
        </w:tc>
        <w:tc>
          <w:tcPr>
            <w:tcW w:type="dxa" w:w="2160"/>
          </w:tcPr>
          <w:p>
            <w:r>
              <w:t>Equal-Pay-Reporting fehlt formal (LkSG-Anforderung)</w:t>
            </w:r>
          </w:p>
        </w:tc>
        <w:tc>
          <w:tcPr>
            <w:tcW w:type="dxa" w:w="2160"/>
          </w:tcPr>
          <w:p>
            <w:r>
              <w:t>Mittel</w:t>
            </w:r>
          </w:p>
        </w:tc>
        <w:tc>
          <w:tcPr>
            <w:tcW w:type="dxa" w:w="2160"/>
          </w:tcPr>
          <w:p>
            <w:r>
              <w:t>Erstellung Q2/2024</w:t>
            </w:r>
          </w:p>
        </w:tc>
      </w:tr>
      <w:tr>
        <w:tc>
          <w:tcPr>
            <w:tcW w:type="dxa" w:w="2160"/>
          </w:tcPr>
          <w:p>
            <w:r>
              <w:t>5</w:t>
            </w:r>
          </w:p>
        </w:tc>
        <w:tc>
          <w:tcPr>
            <w:tcW w:type="dxa" w:w="2160"/>
          </w:tcPr>
          <w:p>
            <w:r>
              <w:t>Mitarbeiter-Onboarding-Checkliste nicht in allen Tochterwerken einheitlich</w:t>
            </w:r>
          </w:p>
        </w:tc>
        <w:tc>
          <w:tcPr>
            <w:tcW w:type="dxa" w:w="2160"/>
          </w:tcPr>
          <w:p>
            <w:r>
              <w:t>Niedrig</w:t>
            </w:r>
          </w:p>
        </w:tc>
        <w:tc>
          <w:tcPr>
            <w:tcW w:type="dxa" w:w="2160"/>
          </w:tcPr>
          <w:p>
            <w:r>
              <w:t>Konzernweite Standardisierung 2024</w:t>
            </w:r>
          </w:p>
        </w:tc>
      </w:tr>
    </w:tbl>
    <w:p>
      <w:pPr>
        <w:pStyle w:val="Heading3"/>
      </w:pPr>
      <w:r>
        <w:t>Empfohlene Massnahmen</w:t>
      </w:r>
    </w:p>
    <w:p>
      <w:r>
        <w:t>(a) Aktualisierung der HR-Verfahrensanweisungen (zentral); (b) Schulung HR-Sachbearbeitende (Q2/2024); (c) Einfuehrung eines konzernweiten HR-Dashboards (Power BI) mit KPI-Monitoring; (d) Equal-Pay-Audit durch externen Anbieter (Mercer) als Vorbereitung CSRD-Reporting.</w:t>
      </w:r>
    </w:p>
    <w:p>
      <w:pPr>
        <w:pStyle w:val="Heading3"/>
      </w:pPr>
      <w:r>
        <w:t>Status der Behebung</w:t>
      </w:r>
    </w:p>
    <w:p>
      <w:r>
        <w:t>Alle Findings sind dem Vorstand zur Behebung uebertragen. Statusbericht zum 30. Juni 2024 wird an Pruefungsausschuss vorgelegt. Wiederholungspruefung Q4/2024 vorgesehen.</w:t>
      </w:r>
    </w:p>
    <w:p>
      <w:pPr>
        <w:pStyle w:val="Heading3"/>
      </w:pPr>
      <w:r>
        <w:t>Unterschriften</w:t>
      </w:r>
    </w:p>
    <w:p>
      <w:r>
        <w:t>Ort, Datum: Stuttgart, den 22. Januar 2024</w:t>
      </w:r>
    </w:p>
    <w:p>
      <w:r>
        <w:t>_________________________            _________________________</w:t>
        <w:br/>
        <w:t>Andreas Buehler                          Prof. Dr.-Ing. Gerhard Voss</w:t>
        <w:br/>
        <w:t>Chief Audit Executive (CAE)                          Vorsitz Pruefungsausschuss</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