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ECU-900 – Volkswagen AG, Q4/2022</w:t>
      </w:r>
    </w:p>
    <w:p>
      <w:pPr>
        <w:jc w:val="center"/>
      </w:pPr>
      <w:r>
        <w:t>Kundenstatus, Lieferperformance, Projekt-Pipeline und Eskalationen mit Volkswagen Group</w:t>
      </w:r>
    </w:p>
    <w:p/>
    <w:p>
      <w:pPr>
        <w:pStyle w:val="Heading3"/>
      </w:pPr>
      <w:r>
        <w:t>Teilnehmer</w:t>
      </w:r>
    </w:p>
    <w:p>
      <w:r>
        <w:t>Volkswagen AG (Wolfsburg): Einkaufsleitung Komponente, Qualitaetsmanagement-OEM, Programm-Management E-Mobility / Powertrain, ggf. Vertreter Vorserienentwicklung.</w:t>
      </w:r>
    </w:p>
    <w:p>
      <w:r>
        <w:t>Brennhagen Elektronik AG / REG: Stefan Richter (CMO/BD), Key Account Manager VW, Werkleitung REG (Andreas Maier), Qualitaetsleitung (Sabine Brand), ggf. Vertreter R&amp;D / Programm.</w:t>
      </w:r>
    </w:p>
    <w:p>
      <w:pPr>
        <w:pStyle w:val="Heading3"/>
      </w:pPr>
      <w:r>
        <w:t>Berichtszeitraum und Scope</w:t>
      </w:r>
    </w:p>
    <w:p>
      <w:r>
        <w:t>Quartalsbericht Q4/2022 zum Produkt ECU-900. Scope: Liefermengen, Qualitaetsperformance, Reklamationsstatus, Forecast Folgequartale, Pipeline neuer Designwins / RFQ, strategische Themen (z. B. Cyber, Software-OTA, ASPICE, IATF, Carbon Footprint).</w:t>
      </w:r>
    </w:p>
    <w:p>
      <w:pPr>
        <w:pStyle w:val="Heading3"/>
      </w:pPr>
      <w:r>
        <w:t>Operative KPIs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Termintreue Lieferung</w:t>
            </w:r>
          </w:p>
        </w:tc>
        <w:tc>
          <w:tcPr>
            <w:tcW w:type="dxa" w:w="2160"/>
          </w:tcPr>
          <w:p>
            <w:r>
              <w:t>&gt;= 95 %</w:t>
            </w:r>
          </w:p>
        </w:tc>
        <w:tc>
          <w:tcPr>
            <w:tcW w:type="dxa" w:w="2160"/>
          </w:tcPr>
          <w:p>
            <w:r>
              <w:t>98 %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PPM-Quote</w:t>
            </w:r>
          </w:p>
        </w:tc>
        <w:tc>
          <w:tcPr>
            <w:tcW w:type="dxa" w:w="2160"/>
          </w:tcPr>
          <w:p>
            <w:r>
              <w:t>&lt; 25 ppm</w:t>
            </w:r>
          </w:p>
        </w:tc>
        <w:tc>
          <w:tcPr>
            <w:tcW w:type="dxa" w:w="2160"/>
          </w:tcPr>
          <w:p>
            <w:r>
              <w:t>14 ppm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8D-Schliesszeit</w:t>
            </w:r>
          </w:p>
        </w:tc>
        <w:tc>
          <w:tcPr>
            <w:tcW w:type="dxa" w:w="2160"/>
          </w:tcPr>
          <w:p>
            <w:r>
              <w:t>&lt; 60 Tage</w:t>
            </w:r>
          </w:p>
        </w:tc>
        <w:tc>
          <w:tcPr>
            <w:tcW w:type="dxa" w:w="2160"/>
          </w:tcPr>
          <w:p>
            <w:r>
              <w:t>28 Tage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Forecast-Genauigkeit</w:t>
            </w:r>
          </w:p>
        </w:tc>
        <w:tc>
          <w:tcPr>
            <w:tcW w:type="dxa" w:w="2160"/>
          </w:tcPr>
          <w:p>
            <w:r>
              <w:t>&gt;= 90 %</w:t>
            </w:r>
          </w:p>
        </w:tc>
        <w:tc>
          <w:tcPr>
            <w:tcW w:type="dxa" w:w="2160"/>
          </w:tcPr>
          <w:p>
            <w:r>
              <w:t>94 %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</w:tbl>
    <w:p>
      <w:pPr>
        <w:pStyle w:val="Heading3"/>
      </w:pPr>
      <w:r>
        <w:t>Schwerpunktthemen / Eskalationen</w:t>
      </w:r>
    </w:p>
    <w:p>
      <w:pPr>
        <w:pStyle w:val="ListBullet"/>
      </w:pPr>
      <w:r>
        <w:t>Liefermengen Q4 im Plan, leichter Forecast-Anstieg fuer Q1/2023</w:t>
      </w:r>
    </w:p>
    <w:p>
      <w:pPr>
        <w:pStyle w:val="ListBullet"/>
      </w:pPr>
      <w:r>
        <w:t>Reklamationsstatus: 1 OEM-Reklamation im Quartal, 8D-Report binnen 28 Tagen geschlossen</w:t>
      </w:r>
    </w:p>
    <w:p>
      <w:pPr>
        <w:pStyle w:val="ListBullet"/>
      </w:pPr>
      <w:r>
        <w:t>ASPICE Level 2 Bestaetigungs-Audit bei RSG erfolgreich</w:t>
      </w:r>
    </w:p>
    <w:p>
      <w:pPr>
        <w:pStyle w:val="ListBullet"/>
      </w:pPr>
      <w:r>
        <w:t>Roadmap Software-Updates 2023 vereinbart (4 geplante Releases)</w:t>
      </w:r>
    </w:p>
    <w:p>
      <w:pPr>
        <w:pStyle w:val="ListBullet"/>
      </w:pPr>
      <w:r>
        <w:t>ESG-Anforderungen: CO2-Footprint je ECU wurde an VW gemeldet (gem. VW-Anfrage)</w:t>
      </w:r>
    </w:p>
    <w:p>
      <w:pPr>
        <w:pStyle w:val="Heading3"/>
      </w:pPr>
      <w:r>
        <w:t>Vereinbarungen / Naechste Schritte</w:t>
      </w:r>
    </w:p>
    <w:p>
      <w:r>
        <w:t>Naechstes QBR turnusmaessig im Folgequartal. Offene Themen werden im OEM-Eskalationsboard nachverfolgt. Aktionen mit Termin und Verantwortlichen sind im QBR-Action-Tracker (Anhang) festgehalten. Eskalationspfad: REG → Stefan Richter → Anna Mueller (CEO REA) / Programm-Direktor VW.</w:t>
      </w:r>
    </w:p>
    <w:p>
      <w:pPr>
        <w:pStyle w:val="Heading3"/>
      </w:pPr>
      <w:r>
        <w:t>Unterzeichnung</w:t>
      </w:r>
    </w:p>
    <w:p>
      <w:r>
        <w:t>Ort, Datum: Wolfsburg, den Q4/2022</w:t>
      </w:r>
    </w:p>
    <w:p>
      <w:r>
        <w:t>_________________________            _________________________</w:t>
        <w:br/>
        <w:t>Stefan Richter                          Programmleitung VW</w:t>
        <w:br/>
        <w:t>CMO/BD REA                          Einkauf / QM</w:t>
        <w:br/>
        <w:t>Brennhagen Elektronik AG                       Volkswagen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