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Vorstandsbestellung – Stefan Richter – Chief Marketing &amp; Business Development Officer (Vorstandsmitglied / verantwortlich Akquise)</w:t>
      </w:r>
    </w:p>
    <w:p>
      <w:pPr>
        <w:jc w:val="center"/>
      </w:pPr>
      <w:r>
        <w:t>Beschluss des Aufsichtsrats gemaess § 84 AktG</w:t>
      </w:r>
    </w:p>
    <w:p/>
    <w:p>
      <w:pPr>
        <w:pStyle w:val="Heading3"/>
      </w:pPr>
      <w:r>
        <w:t>Beschlussfassung</w:t>
      </w:r>
    </w:p>
    <w:p>
      <w:r>
        <w:t>Der Aufsichtsrat der Brennhagen Elektronik AG hat in seiner Sitzung am unter Beschluss-Nr. AR-RIC mit allen abgegebenen Stimmen beschlossen, Stefan Richter als Mitglied des Vorstandes zu bestellen.</w:t>
      </w:r>
    </w:p>
    <w:p>
      <w:pPr>
        <w:pStyle w:val="Heading3"/>
      </w:pPr>
      <w:r>
        <w:t>Funktion und Hintergrund</w:t>
      </w:r>
    </w:p>
    <w:p>
      <w:r>
        <w:t>Funktion: Chief Marketing &amp; Business Development Officer (Vorstandsmitglied / verantwortlich Akquise).</w:t>
      </w:r>
    </w:p>
    <w:p>
      <w:r>
        <w:t>Hintergrund: Diplom-Wirtschaftsingenieur TU Muenchen; 16 Jahre bei Siemens AG (zuletzt SVP Automotive Business Unit); Bestellung zum 1. April 2023, mit Fokus auf Akquise neuer OEM-Programme und Vertriebsentwicklung Tier-1.</w:t>
      </w:r>
    </w:p>
    <w:p>
      <w:pPr>
        <w:pStyle w:val="Heading3"/>
      </w:pPr>
      <w:r>
        <w:t>Vertragseckpunkte</w:t>
      </w:r>
    </w:p>
    <w:p>
      <w:pPr>
        <w:pStyle w:val="Heading4"/>
      </w:pPr>
      <w:r>
        <w:t>§ 1 Bestellungszeitraum</w:t>
      </w:r>
    </w:p>
    <w:p>
      <w:r>
        <w:rPr>
          <w:b/>
        </w:rPr>
        <w:t xml:space="preserve">(1) </w:t>
      </w:r>
      <w:r>
        <w:t>Die Bestellung erfolgt fuer eine erste Amtsperiode von 4 Jahren (entsprechend der Regel-Bestellungsdauer; max. 5 Jahre gemaess § 84 AktG).</w:t>
      </w:r>
    </w:p>
    <w:p>
      <w:pPr>
        <w:pStyle w:val="Heading4"/>
      </w:pPr>
      <w:r>
        <w:t>§ 2 Vergutung</w:t>
      </w:r>
    </w:p>
    <w:p>
      <w:r>
        <w:rPr>
          <w:b/>
        </w:rPr>
        <w:t xml:space="preserve">(1) </w:t>
      </w:r>
      <w:r>
        <w:t>Jahresbruttofixgehalt: 310.000 EUR (zwoelf Monatsraten).</w:t>
      </w:r>
    </w:p>
    <w:p>
      <w:r>
        <w:rPr>
          <w:b/>
        </w:rPr>
        <w:t xml:space="preserve">(2) </w:t>
      </w:r>
      <w:r>
        <w:t>Short-Term-Incentive (STI): bis zu 55 % vom Fixgehalt bei Zielerreichung; Bemessungsgrundlage: konsolidiertes EBIT und individuelle Ziele.</w:t>
      </w:r>
    </w:p>
    <w:p>
      <w:r>
        <w:rPr>
          <w:b/>
        </w:rPr>
        <w:t xml:space="preserve">(3) </w:t>
      </w:r>
      <w:r>
        <w:t>Long-Term-Incentive (LTI): Performance Share Plan ueber 4 Jahre (Vesting), Ziel TSR / EBIT-CAGR; Maximalwert 200 % vom Zielwert. LTI-Zielwert pro Tranche: 100 % vom Fixgehalt.</w:t>
      </w:r>
    </w:p>
    <w:p>
      <w:r>
        <w:rPr>
          <w:b/>
        </w:rPr>
        <w:t xml:space="preserve">(4) </w:t>
      </w:r>
      <w:r>
        <w:t>Dienstwagen, D&amp;O-Versicherung, betriebliche Altersversorgung 14 % vom Fixgehalt p. a.</w:t>
      </w:r>
    </w:p>
    <w:p>
      <w:pPr>
        <w:pStyle w:val="Heading4"/>
      </w:pPr>
      <w:r>
        <w:t>§ 3 Nachvertragliches Wettbewerbsverbot</w:t>
      </w:r>
    </w:p>
    <w:p>
      <w:r>
        <w:rPr>
          <w:b/>
        </w:rPr>
        <w:t xml:space="preserve">(1) </w:t>
      </w:r>
      <w:r>
        <w:t>12 Monate; Karenzentschaedigung 50 % der zuletzt bezogenen Festvergutung.</w:t>
      </w:r>
    </w:p>
    <w:p>
      <w:pPr>
        <w:pStyle w:val="Heading4"/>
      </w:pPr>
      <w:r>
        <w:t>§ 4 Anwendbares Recht</w:t>
      </w:r>
    </w:p>
    <w:p>
      <w:r>
        <w:rPr>
          <w:b/>
        </w:rPr>
        <w:t xml:space="preserve">(1) </w:t>
      </w:r>
      <w:r>
        <w:t>Es gilt deutsches Recht. Streitigkeiten werden durch das Landgericht Stuttgart entschieden.</w:t>
      </w:r>
    </w:p>
    <w:p>
      <w:pPr>
        <w:pStyle w:val="Heading3"/>
      </w:pPr>
      <w:r>
        <w:t>Unterschriften</w:t>
      </w:r>
    </w:p>
    <w:p>
      <w:r>
        <w:t>Ort, Datum: Stuttgart, den —</w:t>
      </w:r>
    </w:p>
    <w:p>
      <w:r>
        <w:t>_________________________            _________________________</w:t>
        <w:br/>
        <w:t>Dr. Klaus Steinbrueck                          Stefan Richter</w:t>
        <w:br/>
        <w:t>Vorsitz Aufsichtsrat                          Vorstandsmitglied</w:t>
        <w:br/>
        <w:t>Brennhagen Elektronik AG                       i. e. 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