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M&amp;A First Approach #018 – Pruefung Erwerb spezialisierte BMS-Software-Firma</w:t>
      </w:r>
    </w:p>
    <w:p>
      <w:pPr>
        <w:jc w:val="center"/>
      </w:pPr>
      <w:r>
        <w:t>Vorlage Strategie- und Vorstandsbericht, Stand 14. November 2023</w:t>
      </w:r>
    </w:p>
    <w:p/>
    <w:p>
      <w:pPr>
        <w:pStyle w:val="Heading3"/>
      </w:pPr>
      <w:r>
        <w:t>Hintergrund / Zielsetzung</w:t>
      </w:r>
    </w:p>
    <w:p>
      <w:r>
        <w:t>Im Rahmen der Strategie 2026 'NEXT' (Saeule Battery Management) wird ein gezielter Aufbau der Software-Kompetenz angestrebt. Die in Aachen ansaessige BMS-Soft GmbH (Umsatz 12,4 Mio. EUR / 84 Mitarbeiter / spezialisiert auf BMS-Software fuer Lithium-Ionen / Sodium-Ion-Akkus) wurde als strategisches Target identifiziert.</w:t>
      </w:r>
    </w:p>
    <w:p>
      <w:pPr>
        <w:pStyle w:val="Heading3"/>
      </w:pPr>
      <w:r>
        <w:t>Target-Profil</w:t>
      </w:r>
    </w:p>
    <w:p>
      <w:r>
        <w:t>Firma: BMS-Soft GmbH, Aachen.</w:t>
        <w:br/>
        <w:t>Gruendung: 2017 aus RWTH Aachen Spin-off.</w:t>
        <w:br/>
        <w:t>Umsatz 2022: 11,2 Mio. EUR (+38 % YoY); 2023e: 14,8 Mio.</w:t>
        <w:br/>
        <w:t>EBITDA-Marge: 22 % (2022) / 26 % (2023e).</w:t>
        <w:br/>
        <w:t>Mitarbeiter: 84 (davon 62 Engineers, 12 Sales, 10 Admin).</w:t>
        <w:br/>
        <w:t>Eigentum: 3 Gruender (60 %), VC Earlybird (25 %), Mitarbeiter ESOP (15 %).</w:t>
        <w:br/>
        <w:t>Top-Kunden: Volkswagen (35 %), Stellantis (22 %), Daimler (18 %), CATL (12 %).</w:t>
        <w:br/>
        <w:t>Technologie: KI-basierte Cell-State-of-Health-Prediction; SiC-spezifische Charging-Algorithmen.</w:t>
      </w:r>
    </w:p>
    <w:p>
      <w:pPr>
        <w:pStyle w:val="Heading3"/>
      </w:pPr>
      <w:r>
        <w:t>Strategischer Fit</w:t>
      </w:r>
    </w:p>
    <w:p>
      <w:r>
        <w:t>Hohe Komplementaritaet zu Brennhagen-Portfolio: BMS-12 Hardware-Modul (REG/RSG) ergaenzt um spezialisierte BMS-Software (BMS-Soft). Cross-Selling-Potenzial zu BMW + Mercedes (Schluesselkunden Brennhagen, aktuell nicht abgedeckt von BMS-Soft). Schneller Markteintritt in Sodium-Ion-Segment (Wachstum erwartet 2025+).</w:t>
      </w:r>
    </w:p>
    <w:p>
      <w:pPr>
        <w:pStyle w:val="Heading3"/>
      </w:pPr>
      <w:r>
        <w:t>Indikative Bewertung</w:t>
      </w:r>
    </w:p>
    <w:p>
      <w:r>
        <w:t>Bewertungsbandbreite (Pre-Money): 80-110 Mio. EUR (entspricht 5,4-7,4x EV/Revenue 2023e). Strukturierung: 70 % Cash + 30 % Brennhagen-Aktien (Tausch); Earn-Out 25 % nach 24 Monaten (EBITDA-basiert). Erwarteter Goodwill: 55-65 Mio. EUR.</w:t>
      </w:r>
    </w:p>
    <w:p>
      <w:pPr>
        <w:pStyle w:val="Heading3"/>
      </w:pPr>
      <w:r>
        <w:t>Naechste Schritte / Vorschlag</w:t>
      </w:r>
    </w:p>
    <w:p>
      <w:r>
        <w:t>(1) Vertieftes Sondierungsgespraech CEO Anna Mueller mit BMS-Soft-CEO Dr. Florian Lehmann (geplant 22. November 2023);</w:t>
        <w:br/>
        <w:t>(2) Genehmigung Beirat ueber Aufnahme formaler Due Diligence (geplant 14. Dezember 2023);</w:t>
        <w:br/>
        <w:t>(3) NDA + Letter of Intent (LOI) Q1/2024;</w:t>
        <w:br/>
        <w:t>(4) Closing-Ziel Q3/2024 (vorbehaltlich Kartellfreigabe BKartA / EU-Kommission).</w:t>
      </w:r>
    </w:p>
    <w:p>
      <w:r>
        <w:t>Externe Berater: Roland Berger (Strategie-DD), KPMG (Financial DD), Hengeler Mueller (Legal).</w:t>
      </w:r>
    </w:p>
    <w:p>
      <w:pPr>
        <w:pStyle w:val="Heading3"/>
      </w:pPr>
      <w:r>
        <w:t>Risikobewertung</w:t>
      </w:r>
    </w:p>
    <w:p>
      <w:r>
        <w:t>Hoehepriorisiertes Risiko: Mitarbeiter-Retention (Software-Spezialisten). Mitigation: Earn-Out + ESOP Retention-Pool. Mittleres Risiko: Kunden-Concentration (Top-3 Kunden 75 %). Niedrigeres Risiko: Technologie-Reife (bereits 4 Serienproduktionen).</w:t>
      </w:r>
    </w:p>
    <w:p>
      <w:pPr>
        <w:pStyle w:val="Heading3"/>
      </w:pPr>
      <w:r>
        <w:t>Unterschriften</w:t>
      </w:r>
    </w:p>
    <w:p>
      <w:r>
        <w:t>Ort, Datum: Stuttgart, den 14. November 2023</w:t>
      </w:r>
    </w:p>
    <w:p>
      <w:r>
        <w:t>_________________________            _________________________</w:t>
        <w:br/>
        <w:t>Stefan Richter                          Laura Bauer</w:t>
        <w:br/>
        <w:t>Vorstand M&amp;A / BD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