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Q1 2022</w:t>
      </w:r>
    </w:p>
    <w:p>
      <w:pPr>
        <w:jc w:val="center"/>
      </w:pPr>
      <w:r>
        <w:t>Konsortialkredit-Reporting; Quartals-Compliance fuer das KW Q1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Q1 2022.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67.2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198.5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38.4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Q1-Stichtag 2022 samtliche im Konsortialkredit-Rahmenvertrag definierten Financial Covenants EINGEHALTEN wurden. Die Berechnung erfolgt auf Basis der in den IFRS-Konzernzahlen ausgewiesenen Werte sowie der Definitionen in Anhang 3 des Konsortialkreditvertrages.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Q1-Ende 2022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