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Covenant Compliance Certificate – Q4 2023</w:t>
      </w:r>
    </w:p>
    <w:p>
      <w:pPr>
        <w:jc w:val="center"/>
      </w:pPr>
      <w:r>
        <w:t>Konsortialkredit-Reporting; Quartals-Compliance fuer das KW Q4</w:t>
      </w:r>
    </w:p>
    <w:p/>
    <w:p>
      <w:pPr>
        <w:pStyle w:val="Heading3"/>
      </w:pPr>
      <w:r>
        <w:t>Adressat / Rechtsgrundlage</w:t>
      </w:r>
    </w:p>
    <w:p>
      <w:r>
        <w:t>An die Konsortialfuehrerin Deutsche Bank AG sowie an die uebrigen Konsortialteilnehmer (Commerzbank AG, UniCredit Bank AG, BNP Paribas S.A., HSBC Continental Europe S.A.). Vorlage gemaess § 11 Abs. 3 des Konsortialkredit-Rahmenvertrages vom 14. Maerz 2022 (Faciliy-Volumen: 250 Mio. EUR / Laufzeit bis 14.3.2027).</w:t>
      </w:r>
    </w:p>
    <w:p>
      <w:pPr>
        <w:pStyle w:val="Heading3"/>
      </w:pPr>
      <w:r>
        <w:t>Berichtszeitraum</w:t>
      </w:r>
    </w:p>
    <w:p>
      <w:r>
        <w:t>Quartalsabschluss: Q4 2023. Konsolidierte Kennzahlen (IFRS, ungeprueft falls Q1/Q2/Q3; geprueft Q4):</w:t>
      </w:r>
    </w:p>
    <w:p>
      <w:pPr>
        <w:pStyle w:val="Heading3"/>
      </w:pPr>
      <w:r>
        <w:t>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Covenant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Konsolidiertes EBITDA (LTM, Mio. EUR)</w:t>
            </w:r>
          </w:p>
        </w:tc>
        <w:tc>
          <w:tcPr>
            <w:tcW w:type="dxa" w:w="2160"/>
          </w:tcPr>
          <w:p>
            <w:r>
              <w:t>74.3</w:t>
            </w:r>
          </w:p>
        </w:tc>
        <w:tc>
          <w:tcPr>
            <w:tcW w:type="dxa" w:w="2160"/>
          </w:tcPr>
          <w:p>
            <w:r>
              <w:t>&gt;= 50,0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Nettoverschuldung (Mio. EUR)</w:t>
            </w:r>
          </w:p>
        </w:tc>
        <w:tc>
          <w:tcPr>
            <w:tcW w:type="dxa" w:w="2160"/>
          </w:tcPr>
          <w:p>
            <w:r>
              <w:t>84.6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Leverage Net Debt / EBITDA (LTM)</w:t>
            </w:r>
          </w:p>
        </w:tc>
        <w:tc>
          <w:tcPr>
            <w:tcW w:type="dxa" w:w="2160"/>
          </w:tcPr>
          <w:p>
            <w:r>
              <w:t>0.32</w:t>
            </w:r>
          </w:p>
        </w:tc>
        <w:tc>
          <w:tcPr>
            <w:tcW w:type="dxa" w:w="2160"/>
          </w:tcPr>
          <w:p>
            <w:r>
              <w:t>&lt;= 3,0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Interest Coverage Ratio (ICR)</w:t>
            </w:r>
          </w:p>
        </w:tc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&gt;= 4,0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Eigenkapitalquote (%)</w:t>
            </w:r>
          </w:p>
        </w:tc>
        <w:tc>
          <w:tcPr>
            <w:tcW w:type="dxa" w:w="2160"/>
          </w:tcPr>
          <w:p>
            <w:r>
              <w:t>53.1</w:t>
            </w:r>
          </w:p>
        </w:tc>
        <w:tc>
          <w:tcPr>
            <w:tcW w:type="dxa" w:w="2160"/>
          </w:tcPr>
          <w:p>
            <w:r>
              <w:t>&gt;= 30,0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Erklaerung des CFO</w:t>
      </w:r>
    </w:p>
    <w:p>
      <w:r>
        <w:t>Hiermit bestaetigt die Geschaeftsfuehrung der Brennhagen Elektronik AG, dass zum Q4-Stichtag 2023 samtliche im Konsortialkredit-Rahmenvertrag definierten Financial Covenants EINGEHALTEN wurden. Die Berechnung erfolgt auf Basis der in den IFRS-Konzernzahlen ausgewiesenen Werte sowie der Definitionen in Anhang 3 des Konsortialkreditvertrages. Vollstaendiger Jahresabschluss 2023 testiert KPMG AG WPG am 12. Februar 2024 ohne Beanstandung.</w:t>
      </w:r>
    </w:p>
    <w:p>
      <w:pPr>
        <w:pStyle w:val="Heading3"/>
      </w:pPr>
      <w:r>
        <w:t>Berichtspflichten und Anlagen</w:t>
      </w:r>
    </w:p>
    <w:p>
      <w:r>
        <w:t>Beigefuegt: (1) Konsolidierte GuV und Bilanz Quartalsabschluss (Auszug); (2) Berechnungsschema fuer LTM-EBITDA inkl. Bereinigungen; (3) Bestaetigung des Wirtschaftspruefers (KPMG AG WPG) fuer den Jahresabschluss (nur Q4-Reporting); (4) Bestaetigung Group Treasurer Markus Pflanzer ueber Cash-Equivalents und Verschuldungsstand.</w:t>
      </w:r>
    </w:p>
    <w:p>
      <w:pPr>
        <w:pStyle w:val="Heading3"/>
      </w:pPr>
      <w:r>
        <w:t>Unterschriften</w:t>
      </w:r>
    </w:p>
    <w:p>
      <w:r>
        <w:t>Ort, Datum: Stuttgart, den 30 Tage nach Q4-Ende 2023</w:t>
      </w:r>
    </w:p>
    <w:p>
      <w:r>
        <w:t>_________________________            _________________________</w:t>
        <w:br/>
        <w:t>Laura Bauer                          Markus Pflanzer</w:t>
        <w:br/>
        <w:t>CFO                         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