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EUR/CNY – Q1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EUR/CNY-Risiken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EUR/CNY-Exposure aus operativem Geschaeft sowie aus Intercompany-Positionen bei rund 18.4 Mio. EUR-Aequivalent. Wesentliche Treiber: Werk Brennhagen (Shanghai) Co. Ltd. (Lieferungen + Lokalkosten), Liefervertraege Mercedes-Benz China und Stellantis Wuhan.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80 %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BNP Paribas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7.1240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7.0985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+0.5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Yuan robust gegenueber Euro infolge Zhang Wei-Krise; Hedging-Quote zur Stabilisierung Werks-Ergebnisses erforderlich.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Q1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