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EUR/CNY – Q2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EUR/CNY-Risiken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EUR/CNY-Exposure aus operativem Geschaeft sowie aus Intercompany-Positionen bei rund 19.2 Mio. EUR-Aequivalent. Wesentliche Treiber: Werk Brennhagen (Shanghai) Co. Ltd. (Lieferungen + Lokalkosten), Liefervertraege Mercedes-Benz China und Stellantis Wuhan.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82 %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BNP Paribas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7.0850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7.1240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-0.3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Volatilitaet erhoeht durch Shanghai-Lockdown; Sicherungsstrategie unveraendert.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Q2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