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EUR/CNY – Q4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EUR/CNY-Risiken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EUR/CNY-Exposure aus operativem Geschaeft sowie aus Intercompany-Positionen bei rund 21.4 Mio. EUR-Aequivalent. Wesentliche Treiber: Werk Brennhagen (Shanghai) Co. Ltd. (Lieferungen + Lokalkosten), Liefervertraege Mercedes-Benz China und Stellantis Wuhan.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BNP Paribas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7.4180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7.4850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+1.2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Yuan-Schwaeche zum Jahresende; Hedging-Gewinne im OCI eingebucht.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Q4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