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EUR/CNY – Q1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EUR/CNY-Risiken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EUR/CNY-Exposure aus operativem Geschaeft sowie aus Intercompany-Positionen bei rund 22.1 Mio. EUR-Aequivalent. Wesentliche Treiber: Werk Brennhagen (Shanghai) Co. Ltd. (Lieferungen + Lokalkosten), Liefervertraege Mercedes-Benz China und Stellantis Wuhan.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85 %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BNP Paribas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7.4220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7.3950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+0.8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Anhaltende CNY-Volatilitaet; Treasury erwaegt Erhoehung Hedging-Quote auf 90 %.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Q1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