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FX-Hedging Bericht EUR/CNY – Q2 2023</w:t>
      </w:r>
    </w:p>
    <w:p>
      <w:pPr>
        <w:jc w:val="center"/>
      </w:pPr>
      <w:r>
        <w:t>Treasury-Quartalsbericht zur Devisensicherung</w:t>
      </w:r>
    </w:p>
    <w:p/>
    <w:p>
      <w:pPr>
        <w:pStyle w:val="Heading3"/>
      </w:pPr>
      <w:r>
        <w:t>Berichtszweck</w:t>
      </w:r>
    </w:p>
    <w:p>
      <w:r>
        <w:t>Quartalsbericht zur Absicherung der EUR/CNY-Risiken der Brennhagen-Gruppe. Berichts-empfaenger: CFO Laura Bauer, Pruefungsausschuss-Vorsitz Prof. Voss, Group Treasurer Markus Pflanzer. Vorlagepflicht gemaess Treasury-Richtlinie 2022 sowie IFRS 7 / IFRS 9 Disclosure-Anforderungen.</w:t>
      </w:r>
    </w:p>
    <w:p>
      <w:pPr>
        <w:pStyle w:val="Heading3"/>
      </w:pPr>
      <w:r>
        <w:t>Exposure-Uebersicht</w:t>
      </w:r>
    </w:p>
    <w:p>
      <w:r>
        <w:t>Im Berichtsquartal lag das EUR/CNY-Exposure aus operativem Geschaeft sowie aus Intercompany-Positionen bei rund 23.6 Mio. EUR-Aequivalent. Wesentliche Treiber: Werk Brennhagen (Shanghai) Co. Ltd. (Lieferungen + Lokalkosten), Liefervertraege Mercedes-Benz China und Stellantis Wuhan.</w:t>
      </w:r>
    </w:p>
    <w:p>
      <w:pPr>
        <w:pStyle w:val="Heading3"/>
      </w:pPr>
      <w:r>
        <w:t>Hedge-Position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Hedging-Quote</w:t>
            </w:r>
          </w:p>
        </w:tc>
        <w:tc>
          <w:tcPr>
            <w:tcW w:type="dxa" w:w="4320"/>
          </w:tcPr>
          <w:p>
            <w:r>
              <w:t>88 %</w:t>
            </w:r>
          </w:p>
        </w:tc>
      </w:tr>
      <w:tr>
        <w:tc>
          <w:tcPr>
            <w:tcW w:type="dxa" w:w="4320"/>
          </w:tcPr>
          <w:p>
            <w:r>
              <w:t>Eingesetzte Instrumente</w:t>
            </w:r>
          </w:p>
        </w:tc>
        <w:tc>
          <w:tcPr>
            <w:tcW w:type="dxa" w:w="4320"/>
          </w:tcPr>
          <w:p>
            <w:r>
              <w:t>Devisenterminkontrakte (Forwards), z. T. Cross-Currency Swaps</w:t>
            </w:r>
          </w:p>
        </w:tc>
      </w:tr>
      <w:tr>
        <w:tc>
          <w:tcPr>
            <w:tcW w:type="dxa" w:w="4320"/>
          </w:tcPr>
          <w:p>
            <w:r>
              <w:t>Counterparties</w:t>
            </w:r>
          </w:p>
        </w:tc>
        <w:tc>
          <w:tcPr>
            <w:tcW w:type="dxa" w:w="4320"/>
          </w:tcPr>
          <w:p>
            <w:r>
              <w:t>Deutsche Bank AG, BNP Paribas</w:t>
            </w:r>
          </w:p>
        </w:tc>
      </w:tr>
      <w:tr>
        <w:tc>
          <w:tcPr>
            <w:tcW w:type="dxa" w:w="4320"/>
          </w:tcPr>
          <w:p>
            <w:r>
              <w:t>Durchschnittlicher Forward-Kurs</w:t>
            </w:r>
          </w:p>
        </w:tc>
        <w:tc>
          <w:tcPr>
            <w:tcW w:type="dxa" w:w="4320"/>
          </w:tcPr>
          <w:p>
            <w:r>
              <w:t>7.5980</w:t>
            </w:r>
          </w:p>
        </w:tc>
      </w:tr>
      <w:tr>
        <w:tc>
          <w:tcPr>
            <w:tcW w:type="dxa" w:w="4320"/>
          </w:tcPr>
          <w:p>
            <w:r>
              <w:t>Spot-Kurs zum Quartalsende</w:t>
            </w:r>
          </w:p>
        </w:tc>
        <w:tc>
          <w:tcPr>
            <w:tcW w:type="dxa" w:w="4320"/>
          </w:tcPr>
          <w:p>
            <w:r>
              <w:t>7.7240</w:t>
            </w:r>
          </w:p>
        </w:tc>
      </w:tr>
      <w:tr>
        <w:tc>
          <w:tcPr>
            <w:tcW w:type="dxa" w:w="4320"/>
          </w:tcPr>
          <w:p>
            <w:r>
              <w:t>Mark-to-Market (Mio. EUR)</w:t>
            </w:r>
          </w:p>
        </w:tc>
        <w:tc>
          <w:tcPr>
            <w:tcW w:type="dxa" w:w="4320"/>
          </w:tcPr>
          <w:p>
            <w:r>
              <w:t>+2.1</w:t>
            </w:r>
          </w:p>
        </w:tc>
      </w:tr>
      <w:tr>
        <w:tc>
          <w:tcPr>
            <w:tcW w:type="dxa" w:w="4320"/>
          </w:tcPr>
          <w:p>
            <w:r>
              <w:t>Tenorprofil (Anteile)</w:t>
            </w:r>
          </w:p>
        </w:tc>
        <w:tc>
          <w:tcPr>
            <w:tcW w:type="dxa" w:w="4320"/>
          </w:tcPr>
          <w:p>
            <w:r>
              <w:t>0-3M 40 %; 3-6M 30 %; 6-12M 25 %; &gt; 12M 5 %</w:t>
            </w:r>
          </w:p>
        </w:tc>
      </w:tr>
    </w:tbl>
    <w:p>
      <w:pPr>
        <w:pStyle w:val="Heading3"/>
      </w:pPr>
      <w:r>
        <w:t>Kommentar</w:t>
      </w:r>
    </w:p>
    <w:p>
      <w:r>
        <w:t>Hedging-Quote auf 88 % erhoeht; Mark-to-Market positiv durch CNY-Schwaeche.</w:t>
      </w:r>
    </w:p>
    <w:p>
      <w:pPr>
        <w:pStyle w:val="Heading3"/>
      </w:pPr>
      <w:r>
        <w:t>Hedge Accounting (IFRS 9)</w:t>
      </w:r>
    </w:p>
    <w:p>
      <w:r>
        <w:t>Saemtliche Sicherungsbeziehungen werden als Cashflow-Hedges designiert und im Rahmen der Hedge-Accounting-Methodik gemaess IFRS 9 bilanziert. Effektivitaet wird prospektiv und retrospektiv getestet (qualitative Dokumentation Hedge Documentation File je Hedge). Ineffective Portion wird im Finanzergebnis erfasst; effektive Portion im Other Comprehensive Income (OCI).</w:t>
      </w:r>
    </w:p>
    <w:p>
      <w:pPr>
        <w:pStyle w:val="Heading3"/>
      </w:pPr>
      <w:r>
        <w:t>Naechste Schritte</w:t>
      </w:r>
    </w:p>
    <w:p>
      <w:r>
        <w:t>Anpassung Hedge-Quote im Folgequartal gemaess rollierendem 12M-Forecast. Quartalsweise Treasury-Review-Sitzung mit Group Treasurer und CFO am 20. Tag nach Quartalsende.</w:t>
      </w:r>
    </w:p>
    <w:p>
      <w:pPr>
        <w:pStyle w:val="Heading3"/>
      </w:pPr>
      <w:r>
        <w:t>Unterschriften</w:t>
      </w:r>
    </w:p>
    <w:p>
      <w:r>
        <w:t>Ort, Datum: Stuttgart, den 15. Tag nach Q2 2023</w:t>
      </w:r>
    </w:p>
    <w:p>
      <w:r>
        <w:t>_________________________            _________________________</w:t>
        <w:br/>
        <w:t>Markus Pflanzer                          Laura Bauer</w:t>
        <w:br/>
        <w:t>Group Treasurer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