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EUR/CNY – Q3 2023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EUR/CNY-Risiken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EUR/CNY-Exposure aus operativem Geschaeft sowie aus Intercompany-Positionen bei rund 24.8 Mio. EUR-Aequivalent. Wesentliche Treiber: Werk Brennhagen (Shanghai) Co. Ltd. (Lieferungen + Lokalkosten), Liefervertraege Mercedes-Benz China und Stellantis Wuhan.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90 %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BNP Paribas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7.6450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7.6280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+0.4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Hedging-Quote auf 90 % erhoeht (entspricht Treasury-Beschluss vom 14.8.2023).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Q3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