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EUR/CNY – Q4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EUR/CNY-Risiken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EUR/CNY-Exposure aus operativem Geschaeft sowie aus Intercompany-Positionen bei rund 26.2 Mio. EUR-Aequivalent. Wesentliche Treiber: Werk Brennhagen (Shanghai) Co. Ltd. (Lieferungen + Lokalkosten), Liefervertraege Mercedes-Benz China und Stellantis Wuhan.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90 %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BNP Paribas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7.7180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7.7980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+1.8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Stabile Hedging-Performance; Volumen mit Werk-Shanghai-Ausbau gestiegen.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Q4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