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EUR/CZK – Q2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EUR/CZK-Risiken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EUR/CZK-Exposure aus operativem Geschaeft sowie aus Intercompany-Positionen bei rund 12.8 Mio. EUR-Aequivalent. Wesentliche Treiber: Werk Brennhagen CZ s.r.o. (Brno) – Steckverbinder-Produktion; Materialkosten und Lohnkosten in CZK.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72 %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24.6500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24.7100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+0.1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Stabile CZK-Entwicklung; Hedging-Quote unveraendert.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Q2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