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EUR/CZK – Q3 2022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EUR/CZK-Risiken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EUR/CZK-Exposure aus operativem Geschaeft sowie aus Intercompany-Positionen bei rund 13.2 Mio. EUR-Aequivalent. Wesentliche Treiber: Werk Brennhagen CZ s.r.o. (Brno) – Steckverbinder-Produktion; Materialkosten und Lohnkosten in CZK.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75 %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UniCredit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24.4200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24.5100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+0.2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Volatilitaetsanstieg im Sommer; Quote leicht erhoeht.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Q3 2022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