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Q4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13.8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24.1800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24.1000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CZK staerker zum Jahresende; geringer Wechselkurs-Verlust.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