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EUR/CZK – Q1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EUR/CZK-Risiken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EUR/CZK-Exposure aus operativem Geschaeft sowie aus Intercompany-Positionen bei rund 14.1 Mio. EUR-Aequivalent. Wesentliche Treiber: Werk Brennhagen CZ s.r.o. (Brno) – Steckverbinder-Produktion; Materialkosten und Lohnkosten in CZK.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78 %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UniCredit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23.8500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23.5000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-0.5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CZK-Aufwertung nach CNB-Zinserhoehung; Hedging gegen Aufwertung schwer.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Q1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