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EUR/CZK – Q3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EUR/CZK-Risiken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EUR/CZK-Exposure aus operativem Geschaeft sowie aus Intercompany-Positionen bei rund 14.8 Mio. EUR-Aequivalent. Wesentliche Treiber: Werk Brennhagen CZ s.r.o. (Brno) – Steckverbinder-Produktion; Materialkosten und Lohnkosten in CZK.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24.1000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24.3000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+0.3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CZK-Abwertung zum Ende Q3; Hedging-Gewinne stabilisieren Ergebnis.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Q3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