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EUR/HUF – Q1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EUR/HUF-Risiken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EUR/HUF-Exposure aus operativem Geschaeft sowie aus Intercompany-Positionen bei rund 10.9 Mio. EUR-Aequivalent. Wesentliche Treiber: Werk Brennhagen Hungary Kft. (Gyoer) – Sensorik-Produktion; Loehne und Energiekosten HUF.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75 %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392.5000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379.8000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-1.2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HUF-Aufwertung nach MNB-Stabilisierungspolitik; Hedging-Verlust ausgewiesen.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Q1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