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Q3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11.4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78 %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385.6000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388.4000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Volatilitaet bleibt erhoeht; Hedging-Quote leicht erhoeht.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