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Geschaeftsordnung des Aufsichtsrats 2022</w:t>
      </w:r>
    </w:p>
    <w:p>
      <w:pPr>
        <w:jc w:val="center"/>
      </w:pPr>
      <w:r>
        <w:t>Beschlossen durch den Aufsichtsrat am 18. Februar 2022</w:t>
      </w:r>
    </w:p>
    <w:p/>
    <w:p>
      <w:pPr>
        <w:pStyle w:val="Heading3"/>
      </w:pPr>
      <w:r>
        <w:t>Praeambel</w:t>
      </w:r>
    </w:p>
    <w:p>
      <w:r>
        <w:t>Diese Geschaeftsordnung regelt die innere Ordnung des Aufsichtsrats der Brennhagen Elektronik AG auf Basis der Satzung der Gesellschaft, des Aktiengesetzes (AktG) sowie des Deutschen Corporate Governance Kodex (DCGK).</w:t>
      </w:r>
    </w:p>
    <w:p>
      <w:pPr>
        <w:pStyle w:val="Heading3"/>
      </w:pPr>
      <w:r>
        <w:t>Konstituierung und Mitgliedschaft</w:t>
      </w:r>
    </w:p>
    <w:p>
      <w:pPr>
        <w:pStyle w:val="Heading4"/>
      </w:pPr>
      <w:r>
        <w:t>§ 1 Mitgliederzahl</w:t>
      </w:r>
    </w:p>
    <w:p>
      <w:r>
        <w:rPr>
          <w:b/>
        </w:rPr>
        <w:t xml:space="preserve">(1) </w:t>
      </w:r>
      <w:r>
        <w:t>Der Aufsichtsrat besteht aus fuenf Mitgliedern, davon eine Arbeitnehmervertreterin gemaess Drittelbeteiligungsgesetz (DrittelbG).</w:t>
      </w:r>
    </w:p>
    <w:p>
      <w:r>
        <w:rPr>
          <w:b/>
        </w:rPr>
        <w:t xml:space="preserve">(2) </w:t>
      </w:r>
      <w:r>
        <w:t>Die Amtsperiode betraegt 4 Jahre (gestaffelte Wiederwahl moeglich).</w:t>
      </w:r>
    </w:p>
    <w:p>
      <w:pPr>
        <w:pStyle w:val="Heading4"/>
      </w:pPr>
      <w:r>
        <w:t>§ 2 Vorsitz</w:t>
      </w:r>
    </w:p>
    <w:p>
      <w:r>
        <w:rPr>
          <w:b/>
        </w:rPr>
        <w:t xml:space="preserve">(1) </w:t>
      </w:r>
      <w:r>
        <w:t>Der Aufsichtsrat waehlt aus seiner Mitte den/die Vorsitzende/n und den/die stellv. Vorsitzende/n. Wahl mit einfacher Mehrheit der abgegebenen Stimmen.</w:t>
      </w:r>
    </w:p>
    <w:p>
      <w:pPr>
        <w:pStyle w:val="Heading4"/>
      </w:pPr>
      <w:r>
        <w:t>§ 3 Ausschuesse</w:t>
      </w:r>
    </w:p>
    <w:p>
      <w:r>
        <w:rPr>
          <w:b/>
        </w:rPr>
        <w:t xml:space="preserve">(1) </w:t>
      </w:r>
      <w:r>
        <w:t>Der Aufsichtsrat bildet folgende Ausschuesse: Pruefungsausschuss (mind. 3 Mitglieder, Vorsitz Finanz-/Pruefungsexperte gemaess § 100 Abs. 5 AktG); Praesidialausschuss (3 Mitglieder); Personalausschuss (3 Mitglieder); Compliance- und Risikoausschuss (3 Mitglieder); Innovations- und Technologieausschuss (3 Mitglieder).</w:t>
      </w:r>
    </w:p>
    <w:p>
      <w:r>
        <w:rPr>
          <w:b/>
        </w:rPr>
        <w:t xml:space="preserve">(2) </w:t>
      </w:r>
      <w:r>
        <w:t>Ausschuesse berichten dem Plenum mind. einmal pro Sitzungsperiode.</w:t>
      </w:r>
    </w:p>
    <w:p>
      <w:pPr>
        <w:pStyle w:val="Heading3"/>
      </w:pPr>
      <w:r>
        <w:t>Sitzungen</w:t>
      </w:r>
    </w:p>
    <w:p>
      <w:pPr>
        <w:pStyle w:val="Heading4"/>
      </w:pPr>
      <w:r>
        <w:t>§ 4 Frequenz</w:t>
      </w:r>
    </w:p>
    <w:p>
      <w:r>
        <w:rPr>
          <w:b/>
        </w:rPr>
        <w:t xml:space="preserve">(1) </w:t>
      </w:r>
      <w:r>
        <w:t>Es finden mind. 4 ordentliche Sitzungen pro Geschaeftsjahr statt (jeweils Q1-Q4). Zusaetzliche ausserordentliche Sitzungen koennen auf Antrag eines Mitglieds oder des Vorstandes einberufen werden.</w:t>
      </w:r>
    </w:p>
    <w:p>
      <w:pPr>
        <w:pStyle w:val="Heading4"/>
      </w:pPr>
      <w:r>
        <w:t>§ 5 Einberufung</w:t>
      </w:r>
    </w:p>
    <w:p>
      <w:r>
        <w:rPr>
          <w:b/>
        </w:rPr>
        <w:t xml:space="preserve">(1) </w:t>
      </w:r>
      <w:r>
        <w:t>Einberufung durch den/die Vorsitzende/n schriftlich oder elektronisch unter Wahrung einer Frist von 14 Tagen mit Tagesordnung. Bei besonderer Eilbeduerftigkeit Verkuerzung auf 3 Tage zulaessig.</w:t>
      </w:r>
    </w:p>
    <w:p>
      <w:pPr>
        <w:pStyle w:val="Heading4"/>
      </w:pPr>
      <w:r>
        <w:t>§ 6 Beschlussfaehigkeit</w:t>
      </w:r>
    </w:p>
    <w:p>
      <w:r>
        <w:rPr>
          <w:b/>
        </w:rPr>
        <w:t xml:space="preserve">(1) </w:t>
      </w:r>
      <w:r>
        <w:t>Beschlussfaehigkeit bei mind. 3 anwesenden Mitgliedern. Beschluesse werden mit der Mehrheit der abgegebenen Stimmen gefasst (bei Stimmengleichheit entscheidet Stimmrecht des/der Vorsitzenden).</w:t>
      </w:r>
    </w:p>
    <w:p>
      <w:pPr>
        <w:pStyle w:val="Heading4"/>
      </w:pPr>
      <w:r>
        <w:t>§ 7 Niederschrift</w:t>
      </w:r>
    </w:p>
    <w:p>
      <w:r>
        <w:rPr>
          <w:b/>
        </w:rPr>
        <w:t xml:space="preserve">(1) </w:t>
      </w:r>
      <w:r>
        <w:t>Sitzungen werden protokolliert; Protokolle sind nach Genehmigung durch den/die Vorsitzende/n bindend.</w:t>
      </w:r>
    </w:p>
    <w:p>
      <w:pPr>
        <w:pStyle w:val="Heading3"/>
      </w:pPr>
      <w:r>
        <w:t>Vergutung und D&amp;O</w:t>
      </w:r>
    </w:p>
    <w:p>
      <w:r>
        <w:t>Die Vergutung der Aufsichtsratsmitglieder ergibt sich aus den individuellen Dienstvertraegen (siehe 01_AG_Gesellschaftsrecht) sowie aus § 11 der Satzung. D&amp;O-Versicherungssumme 50 Mio. EUR (Allianz Global Corporate &amp; Specialty SE).</w:t>
      </w:r>
    </w:p>
    <w:p>
      <w:pPr>
        <w:pStyle w:val="Heading3"/>
      </w:pPr>
      <w:r>
        <w:t>Letzte Aktualisierung</w:t>
      </w:r>
    </w:p>
    <w:p>
      <w:r>
        <w:t>Beschlussfassung des Aufsichtsrats am 18. Februar 2022.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