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IFRS-Bilanzierungsrichtlinie IAS 12 – Ertragsteuern</w:t>
      </w:r>
    </w:p>
    <w:p>
      <w:pPr>
        <w:jc w:val="center"/>
      </w:pPr>
      <w:r>
        <w:t>Verbindlich fuer alle Konzerngesellschaften der Brennhagen-Gruppe, Stand 2023</w:t>
      </w:r>
    </w:p>
    <w:p/>
    <w:p>
      <w:pPr>
        <w:pStyle w:val="Heading3"/>
      </w:pPr>
      <w:r>
        <w:t>Geltungsbereich</w:t>
      </w:r>
    </w:p>
    <w:p>
      <w:r>
        <w:t>Diese Bilanzierungsrichtlinie konkretisiert die Anwendung von IAS 12 (Ertragsteuern) in der Brennhagen-Gruppe. Sie gilt fuer alle Konzerngesellschaften (REA, REG, RSG, RPL, RCZ, RHU, RCN, RHO) und ist Pflicht-Bestandteil der Konzern-Reportingrichtlinie 2023. Pruefer: KPMG AG WPG (Audit Lead Dr. Maximilian Brand).</w:t>
      </w:r>
    </w:p>
    <w:p>
      <w:pPr>
        <w:pStyle w:val="Heading3"/>
      </w:pPr>
      <w:r>
        <w:t>Scope und Definitionen</w:t>
      </w:r>
    </w:p>
    <w:p>
      <w:r>
        <w:t>IAS 12 regelt die Bilanzierung von Ertragsteuern (laufende und latente Steuern) einschliesslich der Behandlung von steuerlichen Verlustvortraegen, Steueranreizen und der Auswirkungen von Konsolidierungsmassnahmen. Die Richtlinie konkretisiert die Methodik fuer die Gruppe und die Schnittstelle zu lokalen Steuerdeklarationen.</w:t>
      </w:r>
    </w:p>
    <w:p>
      <w:pPr>
        <w:pStyle w:val="Heading3"/>
      </w:pPr>
      <w:r>
        <w:t>Wesentliche Regelungen</w:t>
      </w:r>
    </w:p>
    <w:p>
      <w:pPr>
        <w:pStyle w:val="ListBullet"/>
      </w:pPr>
      <w:r>
        <w:t>Laufende Steuern werden zu den nominalen Steuersaetzen erfasst (Deutschland 30 %, Polen 19 %, Tschechien 19 %, Ungarn 9 %, China 25 %).</w:t>
      </w:r>
    </w:p>
    <w:p>
      <w:pPr>
        <w:pStyle w:val="ListBullet"/>
      </w:pPr>
      <w:r>
        <w:t>Latente Steuern werden auf temporaere Differenzen zwischen IFRS-Buchwerten und Steuerbasis gebildet (Liability-Methode).</w:t>
      </w:r>
    </w:p>
    <w:p>
      <w:pPr>
        <w:pStyle w:val="ListBullet"/>
      </w:pPr>
      <w:r>
        <w:t>Verlustvortraege werden als latente Steuer-Aktiva ausgewiesen, soweit deren Nutzbarkeit wahrscheinlich ist (substantielle Vorhersagbarkeit; Pruefintervall jaehrlich).</w:t>
      </w:r>
    </w:p>
    <w:p>
      <w:pPr>
        <w:pStyle w:val="ListBullet"/>
      </w:pPr>
      <w:r>
        <w:t>Country-by-Country Reporting gemaess BEPS Action 13 obligatorisch (jaehrliche Erstellung durch PwC AG WPG fuer Brennhagen-Gruppe als Multinational).</w:t>
      </w:r>
    </w:p>
    <w:p>
      <w:pPr>
        <w:pStyle w:val="ListBullet"/>
      </w:pPr>
      <w:r>
        <w:t>Steuersatz-Aenderungen werden im Periodengewinn (P&amp;L) erfasst, soweit nicht im OCI gehoerig.</w:t>
      </w:r>
    </w:p>
    <w:p>
      <w:pPr>
        <w:pStyle w:val="Heading3"/>
      </w:pPr>
      <w:r>
        <w:t>Anwendung in der Brennhagen-Gruppe (Beispiele)</w:t>
      </w:r>
    </w:p>
    <w:p>
      <w:r>
        <w:t>Die Brennhagen-Gruppe hat zum 31.12.2023 latente Steueraktiva 14,8 Mio. EUR (u. a. Verlustvortrag RCN Shanghai aus Anlaufphase, Pensions-Rueckstellungen Deutschland, Rueckstellungs-Differenzen). Latente Steuerpassiva 22,4 Mio. EUR (u. a. Goodwill aus M&amp;A-Aktivitaeten). Effektive Konzernsteuerquote 2023: 28,3 % (Plan 29,0 %).</w:t>
      </w:r>
    </w:p>
    <w:p>
      <w:pPr>
        <w:pStyle w:val="Heading3"/>
      </w:pPr>
      <w:r>
        <w:t>Wesentliche Ermessenspielraeume und Schaetzungen</w:t>
      </w:r>
    </w:p>
    <w:p>
      <w:r>
        <w:t>Werthaltigkeit der latenten Steueraktiva (insbesondere RCN Shanghai mit kumuliertem Verlust 12 Mio. EUR aus Aufbauphase 2022-2023) basiert auf Geschaeftsplan mit erwartetem Break-Even 2025 und Wirtschaftlichkeit ab 2026. Annahme: stabile Steuergesetzgebung China; Risiko: Aenderung der lokalen Steuerverguenstigungen.</w:t>
      </w:r>
    </w:p>
    <w:p>
      <w:pPr>
        <w:pStyle w:val="Heading3"/>
      </w:pPr>
      <w:r>
        <w:t>Reporting-Anforderungen</w:t>
      </w:r>
    </w:p>
    <w:p>
      <w:r>
        <w:t>Quartalsweise Berichterstattung im IFRS-Konsolidierungstool (HFM / OneStream). Ausserplanmaessige Anhaltspunkte (z. B. Impairment-Indikatoren) sind unverzueglich an die Konzern-Bilanzierung (Group Controller Florian Maier) zu melden. Aenderungen dieser Richtlinie beduerfen der Zustimmung des CFO.</w:t>
      </w:r>
    </w:p>
    <w:p>
      <w:pPr>
        <w:pStyle w:val="Heading3"/>
      </w:pPr>
      <w:r>
        <w:t>Letzte Aktualisierung / Verantwortlich</w:t>
      </w:r>
    </w:p>
    <w:p>
      <w:r>
        <w:t>Letzte Aktualisierung: 14. November 2023. Verantwortlich: Group Controller Florian Maier; Review CFO Laura Bauer; finale Freigabe Pruefungsausschuss (Sitzung 14.9.2023).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