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IAS 19 – Leistungen an Arbeitnehmer (Pensionsverpflichtungen)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IAS 19 (Leistungen an Arbeitnehmer (Pensionsverpflichtungen))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IAS 19 regelt die Bilanzierung von Leistungen an Arbeitnehmer einschliesslich kurzfristiger Verguetungen, leistungsorientierter (defined benefit) und beitragsorientierter (defined contribution) Versorgungsplaene sowie sonstiger langfristiger Leistungen. Bei der Brennhagen-Gruppe ueberwiegen die Pensionsverpflichtungen aus Deutschland (Direktzusagen + Unterstuetzungskasse).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Defined Benefit Obligations (DBO) werden mittels Projected-Unit-Credit-Methode bewertet; Bewertungsstichtag jeweils 31.12.; aktuarisches Gutachten durch Heubeck AG (Koeln).</w:t>
      </w:r>
    </w:p>
    <w:p>
      <w:pPr>
        <w:pStyle w:val="ListBullet"/>
      </w:pPr>
      <w:r>
        <w:t>Diskontierungszinssatz: gemaess hochwertigen Unternehmensanleihen (AA-Rating EUR Bond) mit kongruenter Laufzeit; Stichtag 31.12.2023: 3,40 % (Vorjahr 3,75 %).</w:t>
      </w:r>
    </w:p>
    <w:p>
      <w:pPr>
        <w:pStyle w:val="ListBullet"/>
      </w:pPr>
      <w:r>
        <w:t>Gehaltstrend-Annahmen: 2,5 % p. a. (DE), Inflationstrend 2,0 %, Rententrend 1,75 %.</w:t>
      </w:r>
    </w:p>
    <w:p>
      <w:pPr>
        <w:pStyle w:val="ListBullet"/>
      </w:pPr>
      <w:r>
        <w:t>Aktuarische Gewinne und Verluste werden im OCI (Other Comprehensive Income) erfasst (IAS 19 Re-Measurement-Komponente).</w:t>
      </w:r>
    </w:p>
    <w:p>
      <w:pPr>
        <w:pStyle w:val="ListBullet"/>
      </w:pPr>
      <w:r>
        <w:t>Plan Assets (Rueckdeckungsversicherungen bei Allianz Lebensversicherung AG und Talanx) werden zum beizulegenden Zeitwert bewertet.</w:t>
      </w:r>
    </w:p>
    <w:p>
      <w:pPr>
        <w:pStyle w:val="Heading3"/>
      </w:pPr>
      <w:r>
        <w:t>Anwendung in der Brennhagen-Gruppe (Beispiele)</w:t>
      </w:r>
    </w:p>
    <w:p>
      <w:r>
        <w:t>Die Brennhagen-Gruppe hat zum 31.12.2023 eine DBO von 78,4 Mio. EUR (Vorjahr 82,1 Mio. EUR; Reduktion durch Zinsanstieg). Plan Assets 32,6 Mio. EUR; Nettoverpflichtung 45,8 Mio. EUR (Vorjahr 48,2 Mio. EUR). Wesentliche Pensionsplaene: Direktzusagen Vorstand REA (8 Personen, DBO 14,8 Mio. EUR), Unterstuetzungskasse REG Heilbronn (DBO 42,8 Mio. EUR), Direktzusagen Fuehrungskraefte RSG Muenchen (DBO 18,4 Mio. EUR). Auslandsplaene CZK/HUF/PLN sind defined-contribution-Plaene (Beitragspflicht).</w:t>
      </w:r>
    </w:p>
    <w:p>
      <w:pPr>
        <w:pStyle w:val="Heading3"/>
      </w:pPr>
      <w:r>
        <w:t>Wesentliche Ermessenspielraeume und Schaetzungen</w:t>
      </w:r>
    </w:p>
    <w:p>
      <w:r>
        <w:t>Sensitivitaeten: Diskontierungssatz +/- 50 bp aendert DBO um +/- 5,8 Mio. EUR. Lebenserwartung +/- 1 Jahr aendert DBO um +/- 2,1 Mio. EUR. Gehaltstrend +/- 50 bp aendert DBO um +/- 1,4 Mio. EUR. Heubeck-Richttafeln 2018 G werden verwendet (Update auf 2024 G in Pruefung).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