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IFRS-Bilanzierungsrichtlinie IAS 38 – Immaterielle Vermoegenswerte (Patente, Entwicklungskosten, Software)</w:t>
      </w:r>
    </w:p>
    <w:p>
      <w:pPr>
        <w:jc w:val="center"/>
      </w:pPr>
      <w:r>
        <w:t>Verbindlich fuer alle Konzerngesellschaften der Brennhagen-Gruppe, Stand 2023</w:t>
      </w:r>
    </w:p>
    <w:p/>
    <w:p>
      <w:pPr>
        <w:pStyle w:val="Heading3"/>
      </w:pPr>
      <w:r>
        <w:t>Geltungsbereich</w:t>
      </w:r>
    </w:p>
    <w:p>
      <w:r>
        <w:t>Diese Bilanzierungsrichtlinie konkretisiert die Anwendung von IAS 38 (Immaterielle Vermoegenswerte (Patente, Entwicklungskosten, Software)) in der Brennhagen-Gruppe. Sie gilt fuer alle Konzerngesellschaften (REA, REG, RSG, RPL, RCZ, RHU, RCN, RHO) und ist Pflicht-Bestandteil der Konzern-Reportingrichtlinie 2023. Pruefer: KPMG AG WPG (Audit Lead Dr. Maximilian Brand).</w:t>
      </w:r>
    </w:p>
    <w:p>
      <w:pPr>
        <w:pStyle w:val="Heading3"/>
      </w:pPr>
      <w:r>
        <w:t>Scope und Definitionen</w:t>
      </w:r>
    </w:p>
    <w:p>
      <w:r>
        <w:t>IAS 38 regelt die Bilanzierung immaterieller Vermoegenswerte einschliesslich der Aktivierung von Entwicklungskosten und der Nicht-Aktivierung von Forschungskosten. Bei der Brennhagen-Gruppe von besonderer Bedeutung wegen substantieller F&amp;E-Aktivitaeten in Heilbronn (REG) und Muenchen (RSG, Software).</w:t>
      </w:r>
    </w:p>
    <w:p>
      <w:pPr>
        <w:pStyle w:val="Heading3"/>
      </w:pPr>
      <w:r>
        <w:t>Wesentliche Regelungen</w:t>
      </w:r>
    </w:p>
    <w:p>
      <w:pPr>
        <w:pStyle w:val="ListBullet"/>
      </w:pPr>
      <w:r>
        <w:t>Forschungskosten werden in der Periode des Anfalls aufwandswirksam erfasst.</w:t>
      </w:r>
    </w:p>
    <w:p>
      <w:pPr>
        <w:pStyle w:val="ListBullet"/>
      </w:pPr>
      <w:r>
        <w:t>Entwicklungskosten werden aktiviert, wenn die sechs Kriterien des IAS 38.57 kumulativ erfuellt sind (Technische Machbarkeit, Absicht zur Fertigstellung, Faehigkeit zur Nutzung/Verkauf, wirtschaftlicher Nutzen, Verfuegbarkeit der Ressourcen, zuverlaessige Bewertung der Aufwendungen).</w:t>
      </w:r>
    </w:p>
    <w:p>
      <w:pPr>
        <w:pStyle w:val="ListBullet"/>
      </w:pPr>
      <w:r>
        <w:t>Aktivierte Entwicklungskosten werden linear ueber die erwartete Nutzungsdauer (in der Regel 5-7 Jahre) abgeschrieben; Beginn mit Start der Produktion / Marktfreigabe.</w:t>
      </w:r>
    </w:p>
    <w:p>
      <w:pPr>
        <w:pStyle w:val="ListBullet"/>
      </w:pPr>
      <w:r>
        <w:t>Patente werden zu Anschaffungskosten aktiviert; Abschreibung linear ueber die Schutzfrist (20 Jahre Patent; 10 Jahre Gebrauchsmuster) oder die wirtschaftliche Nutzungsdauer.</w:t>
      </w:r>
    </w:p>
    <w:p>
      <w:pPr>
        <w:pStyle w:val="ListBullet"/>
      </w:pPr>
      <w:r>
        <w:t>Software wird aktiviert; Lizenzkosten und Implementierungsaufwand bis zur Inbetriebnahme; Abschreibungsdauer 3-7 Jahre.</w:t>
      </w:r>
    </w:p>
    <w:p>
      <w:pPr>
        <w:pStyle w:val="Heading3"/>
      </w:pPr>
      <w:r>
        <w:t>Anwendung in der Brennhagen-Gruppe (Beispiele)</w:t>
      </w:r>
    </w:p>
    <w:p>
      <w:r>
        <w:t>Aktivierte Entwicklungskosten zum 31.12.2023: 28,4 Mio. EUR (Vorjahr 22,1 Mio. EUR), im Wesentlichen fuer Projekte ICP-3 (Infotainment 6,2 Mio.), BMS-12 (Battery Mgmt 12,4 Mio.), ADAS-V4D (Radar Fusion 8,4 Mio.), ECU-900 Gen3 (1,4 Mio.). Goodwill aus Acquisitionen: 38,2 Mio. EUR (insbesondere aus Erwerb 2018 von SensoElectro GmbH, Wiesbaden, 28,4 Mio. EUR). Patente und Schutzrechte: 4,8 Mio. EUR (rund 120 aktive Patente).</w:t>
      </w:r>
    </w:p>
    <w:p>
      <w:pPr>
        <w:pStyle w:val="Heading3"/>
      </w:pPr>
      <w:r>
        <w:t>Wesentliche Ermessenspielraeume und Schaetzungen</w:t>
      </w:r>
    </w:p>
    <w:p>
      <w:r>
        <w:t>Werthaltigkeitspruefung (Impairment) jaehrlich gemaess IAS 36 fuer Goodwill und in Entwicklung befindliche immaterielle Vermoegenswerte. Wesentliche Annahmen: 5-Jahres-Geschaeftsplan, Diskontierungssatz WACC nach Marktinformation (Brennhagen WACC 2023: 8,4 %), erwartete Umsatzrenditen je CGU. Goodwill SensoElectro: keine Wertminderung notwendig (Headroom 22 %).</w:t>
      </w:r>
    </w:p>
    <w:p>
      <w:pPr>
        <w:pStyle w:val="Heading3"/>
      </w:pPr>
      <w:r>
        <w:t>Reporting-Anforderungen</w:t>
      </w:r>
    </w:p>
    <w:p>
      <w:r>
        <w:t>Quartalsweise Berichterstattung im IFRS-Konsolidierungstool (HFM / OneStream). Ausserplanmaessige Anhaltspunkte (z. B. Impairment-Indikatoren) sind unverzueglich an die Konzern-Bilanzierung (Group Controller Florian Maier) zu melden. Aenderungen dieser Richtlinie beduerfen der Zustimmung des CFO.</w:t>
      </w:r>
    </w:p>
    <w:p>
      <w:pPr>
        <w:pStyle w:val="Heading3"/>
      </w:pPr>
      <w:r>
        <w:t>Letzte Aktualisierung / Verantwortlich</w:t>
      </w:r>
    </w:p>
    <w:p>
      <w:r>
        <w:t>Letzte Aktualisierung: 14. November 2023. Verantwortlich: Group Controller Florian Maier; Review CFO Laura Bauer; finale Freigabe Pruefungsausschuss (Sitzung 14.9.2023).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